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5861" w14:textId="2995FFBD" w:rsidR="00321064" w:rsidRPr="00346D6C" w:rsidRDefault="00321064" w:rsidP="00335BED">
      <w:pPr>
        <w:jc w:val="both"/>
        <w:rPr>
          <w:rFonts w:ascii="Arial" w:hAnsi="Arial" w:cs="Arial"/>
          <w:b/>
          <w:bCs/>
          <w:sz w:val="40"/>
          <w:szCs w:val="40"/>
        </w:rPr>
      </w:pPr>
      <w:r w:rsidRPr="00346D6C">
        <w:rPr>
          <w:rFonts w:ascii="Arial" w:hAnsi="Arial" w:cs="Arial"/>
          <w:b/>
          <w:bCs/>
          <w:sz w:val="40"/>
          <w:szCs w:val="40"/>
        </w:rPr>
        <w:t>Decom Week 202</w:t>
      </w:r>
      <w:r w:rsidR="006E1BEE" w:rsidRPr="00346D6C">
        <w:rPr>
          <w:rFonts w:ascii="Arial" w:hAnsi="Arial" w:cs="Arial"/>
          <w:b/>
          <w:bCs/>
          <w:sz w:val="40"/>
          <w:szCs w:val="40"/>
        </w:rPr>
        <w:t>5</w:t>
      </w:r>
      <w:r w:rsidRPr="00346D6C">
        <w:rPr>
          <w:rFonts w:ascii="Arial" w:hAnsi="Arial" w:cs="Arial"/>
          <w:b/>
          <w:bCs/>
          <w:sz w:val="40"/>
          <w:szCs w:val="40"/>
        </w:rPr>
        <w:t xml:space="preserve"> – Call for abstracts</w:t>
      </w:r>
    </w:p>
    <w:p w14:paraId="74DA1924" w14:textId="77777777" w:rsidR="00EF4812" w:rsidRDefault="00EF4812" w:rsidP="00335BED">
      <w:pPr>
        <w:jc w:val="both"/>
        <w:rPr>
          <w:rFonts w:ascii="Arial" w:hAnsi="Arial" w:cs="Arial"/>
          <w:sz w:val="24"/>
          <w:szCs w:val="24"/>
        </w:rPr>
      </w:pPr>
    </w:p>
    <w:p w14:paraId="5111C4B8" w14:textId="51E8BC0E" w:rsidR="00CE08E4" w:rsidRPr="00626867" w:rsidRDefault="002E5EE1" w:rsidP="00335BED">
      <w:pPr>
        <w:jc w:val="both"/>
        <w:rPr>
          <w:rFonts w:ascii="Arial" w:hAnsi="Arial" w:cs="Arial"/>
          <w:color w:val="ED7D31" w:themeColor="accent2"/>
          <w:sz w:val="24"/>
          <w:szCs w:val="24"/>
        </w:rPr>
      </w:pPr>
      <w:r w:rsidRPr="00626867">
        <w:rPr>
          <w:rFonts w:ascii="Arial" w:hAnsi="Arial" w:cs="Arial"/>
          <w:b/>
          <w:bCs/>
          <w:color w:val="ED7D31" w:themeColor="accent2"/>
          <w:sz w:val="24"/>
          <w:szCs w:val="24"/>
        </w:rPr>
        <w:t>About Decom Week 2025:</w:t>
      </w:r>
      <w:r w:rsidR="00E017EE">
        <w:rPr>
          <w:rFonts w:ascii="Arial" w:hAnsi="Arial" w:cs="Arial"/>
          <w:b/>
          <w:bCs/>
          <w:sz w:val="24"/>
          <w:szCs w:val="24"/>
        </w:rPr>
        <w:t xml:space="preserve"> </w:t>
      </w:r>
      <w:r w:rsidR="00CE08E4" w:rsidRPr="00626867">
        <w:rPr>
          <w:rFonts w:ascii="Arial" w:hAnsi="Arial" w:cs="Arial"/>
          <w:b/>
          <w:bCs/>
          <w:color w:val="ED7D31" w:themeColor="accent2"/>
          <w:sz w:val="24"/>
          <w:szCs w:val="24"/>
        </w:rPr>
        <w:t xml:space="preserve">Towards a </w:t>
      </w:r>
      <w:r w:rsidR="00E017EE">
        <w:rPr>
          <w:rFonts w:ascii="Arial" w:hAnsi="Arial" w:cs="Arial"/>
          <w:b/>
          <w:bCs/>
          <w:color w:val="ED7D31" w:themeColor="accent2"/>
          <w:sz w:val="24"/>
          <w:szCs w:val="24"/>
        </w:rPr>
        <w:t>s</w:t>
      </w:r>
      <w:r w:rsidR="00CE08E4" w:rsidRPr="00626867">
        <w:rPr>
          <w:rFonts w:ascii="Arial" w:hAnsi="Arial" w:cs="Arial"/>
          <w:b/>
          <w:bCs/>
          <w:color w:val="ED7D31" w:themeColor="accent2"/>
          <w:sz w:val="24"/>
          <w:szCs w:val="24"/>
        </w:rPr>
        <w:t>ustainable Futur</w:t>
      </w:r>
      <w:r w:rsidR="0026245B" w:rsidRPr="00626867">
        <w:rPr>
          <w:rFonts w:ascii="Arial" w:hAnsi="Arial" w:cs="Arial"/>
          <w:b/>
          <w:bCs/>
          <w:color w:val="ED7D31" w:themeColor="accent2"/>
          <w:sz w:val="24"/>
          <w:szCs w:val="24"/>
        </w:rPr>
        <w:t>e</w:t>
      </w:r>
    </w:p>
    <w:p w14:paraId="31B4A81A" w14:textId="77777777" w:rsidR="00CE08E4" w:rsidRPr="00C91291" w:rsidRDefault="00CE08E4" w:rsidP="00335BED">
      <w:pPr>
        <w:spacing w:before="240" w:line="260" w:lineRule="exact"/>
        <w:jc w:val="both"/>
        <w:rPr>
          <w:rFonts w:ascii="Arial" w:hAnsi="Arial" w:cs="Arial"/>
          <w:sz w:val="24"/>
          <w:szCs w:val="24"/>
        </w:rPr>
      </w:pPr>
      <w:r w:rsidRPr="00C91291">
        <w:rPr>
          <w:rFonts w:ascii="Arial" w:hAnsi="Arial" w:cs="Arial"/>
          <w:b/>
          <w:bCs/>
          <w:sz w:val="24"/>
          <w:szCs w:val="24"/>
        </w:rPr>
        <w:t>Building a safe, skilled, and sustainable decommissioning industry through knowledge, innovation, and collaboration</w:t>
      </w:r>
    </w:p>
    <w:p w14:paraId="7AA1BE71" w14:textId="016053CC" w:rsidR="00CE08E4" w:rsidRDefault="00CE08E4" w:rsidP="00335BED">
      <w:pPr>
        <w:spacing w:before="240" w:line="260" w:lineRule="exact"/>
        <w:jc w:val="both"/>
        <w:rPr>
          <w:rFonts w:ascii="Arial" w:hAnsi="Arial" w:cs="Arial"/>
          <w:sz w:val="24"/>
          <w:szCs w:val="24"/>
        </w:rPr>
      </w:pPr>
      <w:r w:rsidRPr="00C91291">
        <w:rPr>
          <w:rFonts w:ascii="Arial" w:hAnsi="Arial" w:cs="Arial"/>
          <w:sz w:val="24"/>
          <w:szCs w:val="24"/>
        </w:rPr>
        <w:t>Join us in Aberdeen</w:t>
      </w:r>
      <w:r w:rsidR="0064031D">
        <w:rPr>
          <w:rFonts w:ascii="Arial" w:hAnsi="Arial" w:cs="Arial"/>
          <w:sz w:val="24"/>
          <w:szCs w:val="24"/>
        </w:rPr>
        <w:t>, UK,</w:t>
      </w:r>
      <w:r w:rsidRPr="00C91291">
        <w:rPr>
          <w:rFonts w:ascii="Arial" w:hAnsi="Arial" w:cs="Arial"/>
          <w:sz w:val="24"/>
          <w:szCs w:val="24"/>
        </w:rPr>
        <w:t xml:space="preserve"> from 19 – 23 May 2025, for an agenda which will include more than two days of conference, a dedicated session on well abandonment, indoor and outdoor exhibition space and the Decom Mission Awards.</w:t>
      </w:r>
    </w:p>
    <w:p w14:paraId="00FB7D15" w14:textId="7F23EE19" w:rsidR="008B1922" w:rsidRDefault="002B0E29" w:rsidP="00335BED">
      <w:pPr>
        <w:spacing w:before="240" w:line="260" w:lineRule="exact"/>
        <w:jc w:val="both"/>
        <w:rPr>
          <w:rFonts w:ascii="Arial" w:hAnsi="Arial" w:cs="Arial"/>
          <w:sz w:val="24"/>
          <w:szCs w:val="24"/>
        </w:rPr>
      </w:pPr>
      <w:r>
        <w:rPr>
          <w:rFonts w:ascii="Arial" w:hAnsi="Arial" w:cs="Arial"/>
          <w:sz w:val="24"/>
          <w:szCs w:val="24"/>
        </w:rPr>
        <w:t xml:space="preserve">Whilst networking, social events and sports activities are also part of the </w:t>
      </w:r>
      <w:r w:rsidR="00D128B9">
        <w:rPr>
          <w:rFonts w:ascii="Arial" w:hAnsi="Arial" w:cs="Arial"/>
          <w:sz w:val="24"/>
          <w:szCs w:val="24"/>
        </w:rPr>
        <w:t>week-long</w:t>
      </w:r>
      <w:r>
        <w:rPr>
          <w:rFonts w:ascii="Arial" w:hAnsi="Arial" w:cs="Arial"/>
          <w:sz w:val="24"/>
          <w:szCs w:val="24"/>
        </w:rPr>
        <w:t xml:space="preserve"> agenda, </w:t>
      </w:r>
      <w:r w:rsidRPr="00626867">
        <w:rPr>
          <w:rFonts w:ascii="Arial" w:hAnsi="Arial" w:cs="Arial"/>
          <w:b/>
          <w:bCs/>
          <w:sz w:val="24"/>
          <w:szCs w:val="24"/>
        </w:rPr>
        <w:t>conference papers</w:t>
      </w:r>
      <w:r>
        <w:rPr>
          <w:rFonts w:ascii="Arial" w:hAnsi="Arial" w:cs="Arial"/>
          <w:sz w:val="24"/>
          <w:szCs w:val="24"/>
        </w:rPr>
        <w:t xml:space="preserve"> are key to moving our sector forward, sharing best practice, </w:t>
      </w:r>
      <w:r w:rsidR="009A18C4">
        <w:rPr>
          <w:rFonts w:ascii="Arial" w:hAnsi="Arial" w:cs="Arial"/>
          <w:sz w:val="24"/>
          <w:szCs w:val="24"/>
        </w:rPr>
        <w:t xml:space="preserve">illustrating capability, </w:t>
      </w:r>
      <w:r>
        <w:rPr>
          <w:rFonts w:ascii="Arial" w:hAnsi="Arial" w:cs="Arial"/>
          <w:sz w:val="24"/>
          <w:szCs w:val="24"/>
        </w:rPr>
        <w:t xml:space="preserve">stimulating discussion and highlighting challenges. </w:t>
      </w:r>
      <w:r w:rsidR="007A321D">
        <w:rPr>
          <w:rFonts w:ascii="Arial" w:hAnsi="Arial" w:cs="Arial"/>
          <w:sz w:val="24"/>
          <w:szCs w:val="24"/>
        </w:rPr>
        <w:t xml:space="preserve">We </w:t>
      </w:r>
      <w:r w:rsidR="007E28FF">
        <w:rPr>
          <w:rFonts w:ascii="Arial" w:hAnsi="Arial" w:cs="Arial"/>
          <w:sz w:val="24"/>
          <w:szCs w:val="24"/>
        </w:rPr>
        <w:t>now call for abstracts that may address selected themes</w:t>
      </w:r>
      <w:r w:rsidR="009A18C4">
        <w:rPr>
          <w:rFonts w:ascii="Arial" w:hAnsi="Arial" w:cs="Arial"/>
          <w:sz w:val="24"/>
          <w:szCs w:val="24"/>
        </w:rPr>
        <w:t>,</w:t>
      </w:r>
      <w:r w:rsidR="007E28FF">
        <w:rPr>
          <w:rFonts w:ascii="Arial" w:hAnsi="Arial" w:cs="Arial"/>
          <w:sz w:val="24"/>
          <w:szCs w:val="24"/>
        </w:rPr>
        <w:t xml:space="preserve"> present </w:t>
      </w:r>
      <w:r w:rsidR="00906BFD">
        <w:rPr>
          <w:rFonts w:ascii="Arial" w:hAnsi="Arial" w:cs="Arial"/>
          <w:sz w:val="24"/>
          <w:szCs w:val="24"/>
        </w:rPr>
        <w:t xml:space="preserve">case studies and </w:t>
      </w:r>
      <w:r w:rsidR="007E28FF">
        <w:rPr>
          <w:rFonts w:ascii="Arial" w:hAnsi="Arial" w:cs="Arial"/>
          <w:sz w:val="24"/>
          <w:szCs w:val="24"/>
        </w:rPr>
        <w:t xml:space="preserve">new </w:t>
      </w:r>
      <w:r w:rsidR="00544668">
        <w:rPr>
          <w:rFonts w:ascii="Arial" w:hAnsi="Arial" w:cs="Arial"/>
          <w:sz w:val="24"/>
          <w:szCs w:val="24"/>
        </w:rPr>
        <w:t xml:space="preserve">opinions </w:t>
      </w:r>
      <w:r w:rsidR="009A18C4">
        <w:rPr>
          <w:rFonts w:ascii="Arial" w:hAnsi="Arial" w:cs="Arial"/>
          <w:sz w:val="24"/>
          <w:szCs w:val="24"/>
        </w:rPr>
        <w:t>or illustrate what we do in decommissioning</w:t>
      </w:r>
      <w:r w:rsidR="007811AF">
        <w:rPr>
          <w:rFonts w:ascii="Arial" w:hAnsi="Arial" w:cs="Arial"/>
          <w:sz w:val="24"/>
          <w:szCs w:val="24"/>
        </w:rPr>
        <w:t xml:space="preserve">. </w:t>
      </w:r>
      <w:r w:rsidR="009A18C4">
        <w:rPr>
          <w:rFonts w:ascii="Arial" w:hAnsi="Arial" w:cs="Arial"/>
          <w:sz w:val="24"/>
          <w:szCs w:val="24"/>
        </w:rPr>
        <w:t xml:space="preserve"> </w:t>
      </w:r>
    </w:p>
    <w:p w14:paraId="633FF992" w14:textId="37477752" w:rsidR="002B0E29" w:rsidRPr="00C91291" w:rsidRDefault="00544668" w:rsidP="00335BED">
      <w:pPr>
        <w:spacing w:before="240" w:line="260" w:lineRule="exact"/>
        <w:jc w:val="both"/>
        <w:rPr>
          <w:rFonts w:ascii="Arial" w:hAnsi="Arial" w:cs="Arial"/>
          <w:sz w:val="24"/>
          <w:szCs w:val="24"/>
        </w:rPr>
      </w:pPr>
      <w:r>
        <w:rPr>
          <w:rFonts w:ascii="Arial" w:hAnsi="Arial" w:cs="Arial"/>
          <w:sz w:val="24"/>
          <w:szCs w:val="24"/>
        </w:rPr>
        <w:t xml:space="preserve">New for the 2025 conference we also </w:t>
      </w:r>
      <w:r w:rsidR="007811AF">
        <w:rPr>
          <w:rFonts w:ascii="Arial" w:hAnsi="Arial" w:cs="Arial"/>
          <w:sz w:val="24"/>
          <w:szCs w:val="24"/>
        </w:rPr>
        <w:t xml:space="preserve">ask </w:t>
      </w:r>
      <w:r>
        <w:rPr>
          <w:rFonts w:ascii="Arial" w:hAnsi="Arial" w:cs="Arial"/>
          <w:sz w:val="24"/>
          <w:szCs w:val="24"/>
        </w:rPr>
        <w:t xml:space="preserve">authors to nominate a </w:t>
      </w:r>
      <w:r w:rsidRPr="00626867">
        <w:rPr>
          <w:rFonts w:ascii="Arial" w:hAnsi="Arial" w:cs="Arial"/>
          <w:b/>
          <w:bCs/>
          <w:sz w:val="24"/>
          <w:szCs w:val="24"/>
        </w:rPr>
        <w:t>preferred duration</w:t>
      </w:r>
      <w:r>
        <w:rPr>
          <w:rFonts w:ascii="Arial" w:hAnsi="Arial" w:cs="Arial"/>
          <w:sz w:val="24"/>
          <w:szCs w:val="24"/>
        </w:rPr>
        <w:t xml:space="preserve"> – is your paper or presentation suited to a </w:t>
      </w:r>
      <w:r w:rsidR="002F5190">
        <w:rPr>
          <w:rFonts w:ascii="Arial" w:hAnsi="Arial" w:cs="Arial"/>
          <w:sz w:val="24"/>
          <w:szCs w:val="24"/>
        </w:rPr>
        <w:t>15-minute</w:t>
      </w:r>
      <w:r w:rsidR="008B1922">
        <w:rPr>
          <w:rFonts w:ascii="Arial" w:hAnsi="Arial" w:cs="Arial"/>
          <w:sz w:val="24"/>
          <w:szCs w:val="24"/>
        </w:rPr>
        <w:t xml:space="preserve"> insight, is there more you want to detail</w:t>
      </w:r>
      <w:r w:rsidR="002F5190">
        <w:rPr>
          <w:rFonts w:ascii="Arial" w:hAnsi="Arial" w:cs="Arial"/>
          <w:sz w:val="24"/>
          <w:szCs w:val="24"/>
        </w:rPr>
        <w:t>, is it a topic that can be learnt by others o</w:t>
      </w:r>
      <w:r w:rsidR="007811AF">
        <w:rPr>
          <w:rFonts w:ascii="Arial" w:hAnsi="Arial" w:cs="Arial"/>
          <w:sz w:val="24"/>
          <w:szCs w:val="24"/>
        </w:rPr>
        <w:t xml:space="preserve">r maybe </w:t>
      </w:r>
      <w:r w:rsidR="002F5190">
        <w:rPr>
          <w:rFonts w:ascii="Arial" w:hAnsi="Arial" w:cs="Arial"/>
          <w:sz w:val="24"/>
          <w:szCs w:val="24"/>
        </w:rPr>
        <w:t>requires focussed thinking</w:t>
      </w:r>
      <w:r w:rsidR="0037513A">
        <w:rPr>
          <w:rFonts w:ascii="Arial" w:hAnsi="Arial" w:cs="Arial"/>
          <w:sz w:val="24"/>
          <w:szCs w:val="24"/>
        </w:rPr>
        <w:t>?</w:t>
      </w:r>
    </w:p>
    <w:p w14:paraId="35EF4565" w14:textId="26D66430" w:rsidR="009D0083" w:rsidRDefault="00E6104D" w:rsidP="00335BED">
      <w:pPr>
        <w:spacing w:before="240" w:line="260" w:lineRule="exact"/>
        <w:jc w:val="both"/>
        <w:rPr>
          <w:rFonts w:ascii="Arial" w:hAnsi="Arial" w:cs="Arial"/>
          <w:sz w:val="24"/>
          <w:szCs w:val="24"/>
        </w:rPr>
      </w:pPr>
      <w:r>
        <w:rPr>
          <w:rFonts w:ascii="Arial" w:hAnsi="Arial" w:cs="Arial"/>
          <w:sz w:val="24"/>
          <w:szCs w:val="24"/>
        </w:rPr>
        <w:t xml:space="preserve">Decom Week is intended to be a showcase event, where the decommissioning community gathers to </w:t>
      </w:r>
      <w:r w:rsidR="00D14D72">
        <w:rPr>
          <w:rFonts w:ascii="Arial" w:hAnsi="Arial" w:cs="Arial"/>
          <w:sz w:val="24"/>
          <w:szCs w:val="24"/>
        </w:rPr>
        <w:t xml:space="preserve">talk detail and help us set </w:t>
      </w:r>
      <w:r w:rsidR="00924710">
        <w:rPr>
          <w:rFonts w:ascii="Arial" w:hAnsi="Arial" w:cs="Arial"/>
          <w:sz w:val="24"/>
          <w:szCs w:val="24"/>
        </w:rPr>
        <w:t xml:space="preserve">the </w:t>
      </w:r>
      <w:r w:rsidR="00D14D72">
        <w:rPr>
          <w:rFonts w:ascii="Arial" w:hAnsi="Arial" w:cs="Arial"/>
          <w:sz w:val="24"/>
          <w:szCs w:val="24"/>
        </w:rPr>
        <w:t xml:space="preserve">forward agenda. This is your opportunity to </w:t>
      </w:r>
      <w:r w:rsidR="009D0083">
        <w:rPr>
          <w:rFonts w:ascii="Arial" w:hAnsi="Arial" w:cs="Arial"/>
          <w:sz w:val="24"/>
          <w:szCs w:val="24"/>
        </w:rPr>
        <w:t>present on what matters.</w:t>
      </w:r>
    </w:p>
    <w:p w14:paraId="656A683A" w14:textId="178DF908" w:rsidR="00DB2D17" w:rsidRDefault="00DB2D17" w:rsidP="00335BED">
      <w:pPr>
        <w:jc w:val="both"/>
        <w:rPr>
          <w:rFonts w:ascii="Arial" w:hAnsi="Arial" w:cs="Arial"/>
        </w:rPr>
      </w:pPr>
      <w:r>
        <w:rPr>
          <w:rFonts w:ascii="Arial" w:hAnsi="Arial" w:cs="Arial"/>
        </w:rPr>
        <w:t>Regards,</w:t>
      </w:r>
    </w:p>
    <w:p w14:paraId="2889AB23" w14:textId="0E156083" w:rsidR="00DB2D17" w:rsidRDefault="00DB2D17" w:rsidP="00335BED">
      <w:pPr>
        <w:jc w:val="both"/>
        <w:rPr>
          <w:rFonts w:ascii="Arial" w:hAnsi="Arial" w:cs="Arial"/>
        </w:rPr>
      </w:pPr>
      <w:r>
        <w:rPr>
          <w:rFonts w:ascii="Arial" w:hAnsi="Arial" w:cs="Arial"/>
          <w:noProof/>
        </w:rPr>
        <w:drawing>
          <wp:inline distT="0" distB="0" distL="0" distR="0" wp14:anchorId="652441CD" wp14:editId="481AFFE3">
            <wp:extent cx="1000125" cy="558893"/>
            <wp:effectExtent l="0" t="0" r="0" b="0"/>
            <wp:docPr id="1430361395" name="Picture 2" descr="A black sign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61395" name="Picture 2" descr="A black sign with a need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03671" cy="560874"/>
                    </a:xfrm>
                    <a:prstGeom prst="rect">
                      <a:avLst/>
                    </a:prstGeom>
                  </pic:spPr>
                </pic:pic>
              </a:graphicData>
            </a:graphic>
          </wp:inline>
        </w:drawing>
      </w:r>
    </w:p>
    <w:p w14:paraId="21B35D55" w14:textId="77777777" w:rsidR="00DB2D17" w:rsidRPr="00626867" w:rsidRDefault="00DB2D17" w:rsidP="00335BED">
      <w:pPr>
        <w:jc w:val="both"/>
        <w:rPr>
          <w:rFonts w:ascii="Arial" w:hAnsi="Arial" w:cs="Arial"/>
          <w:b/>
          <w:bCs/>
        </w:rPr>
      </w:pPr>
      <w:r w:rsidRPr="00626867">
        <w:rPr>
          <w:rFonts w:ascii="Arial" w:hAnsi="Arial" w:cs="Arial"/>
          <w:b/>
          <w:bCs/>
        </w:rPr>
        <w:t>Sam Long</w:t>
      </w:r>
    </w:p>
    <w:p w14:paraId="76FF1C45" w14:textId="55135B8C" w:rsidR="00336471" w:rsidRDefault="00DB2D17" w:rsidP="00335BED">
      <w:pPr>
        <w:jc w:val="both"/>
        <w:rPr>
          <w:rFonts w:ascii="Arial" w:hAnsi="Arial" w:cs="Arial"/>
        </w:rPr>
      </w:pPr>
      <w:r>
        <w:rPr>
          <w:rFonts w:ascii="Arial" w:hAnsi="Arial" w:cs="Arial"/>
        </w:rPr>
        <w:t>Chief Executive Officer, for an on behalf of the organising committee</w:t>
      </w:r>
      <w:r w:rsidR="00336471">
        <w:rPr>
          <w:rFonts w:ascii="Arial" w:hAnsi="Arial" w:cs="Arial"/>
        </w:rPr>
        <w:br w:type="page"/>
      </w:r>
    </w:p>
    <w:p w14:paraId="020F3E92" w14:textId="7DDEDA21" w:rsidR="001445A2" w:rsidRPr="0025662D" w:rsidRDefault="001445A2" w:rsidP="00335BED">
      <w:pPr>
        <w:jc w:val="both"/>
        <w:rPr>
          <w:rFonts w:ascii="Arial" w:hAnsi="Arial" w:cs="Arial"/>
          <w:b/>
          <w:bCs/>
          <w:color w:val="ED7D31" w:themeColor="accent2"/>
          <w:sz w:val="20"/>
          <w:szCs w:val="20"/>
        </w:rPr>
      </w:pPr>
      <w:r w:rsidRPr="0025662D">
        <w:rPr>
          <w:rFonts w:ascii="Arial" w:hAnsi="Arial" w:cs="Arial"/>
          <w:b/>
          <w:bCs/>
          <w:color w:val="ED7D31" w:themeColor="accent2"/>
          <w:sz w:val="20"/>
          <w:szCs w:val="20"/>
        </w:rPr>
        <w:lastRenderedPageBreak/>
        <w:t>Themes</w:t>
      </w:r>
    </w:p>
    <w:p w14:paraId="5B34698E" w14:textId="4D97A9EB" w:rsidR="00321064" w:rsidRPr="0025662D" w:rsidRDefault="00D46A3C" w:rsidP="00335BED">
      <w:pPr>
        <w:jc w:val="both"/>
        <w:rPr>
          <w:rFonts w:ascii="Arial" w:hAnsi="Arial" w:cs="Arial"/>
          <w:sz w:val="20"/>
          <w:szCs w:val="20"/>
        </w:rPr>
      </w:pPr>
      <w:r w:rsidRPr="0025662D">
        <w:rPr>
          <w:rFonts w:ascii="Arial" w:hAnsi="Arial" w:cs="Arial"/>
          <w:sz w:val="20"/>
          <w:szCs w:val="20"/>
        </w:rPr>
        <w:t xml:space="preserve">Highlighted </w:t>
      </w:r>
      <w:r w:rsidRPr="0025662D">
        <w:rPr>
          <w:rFonts w:ascii="Arial" w:hAnsi="Arial" w:cs="Arial"/>
          <w:b/>
          <w:bCs/>
          <w:sz w:val="20"/>
          <w:szCs w:val="20"/>
        </w:rPr>
        <w:t>themes</w:t>
      </w:r>
      <w:r w:rsidRPr="0025662D">
        <w:rPr>
          <w:rFonts w:ascii="Arial" w:hAnsi="Arial" w:cs="Arial"/>
          <w:sz w:val="20"/>
          <w:szCs w:val="20"/>
        </w:rPr>
        <w:t xml:space="preserve"> for the 2025 conference are detailed below. Abstracts may reflect one or a number of these, or an alternative suggestion. </w:t>
      </w:r>
    </w:p>
    <w:p w14:paraId="28318660" w14:textId="18378F4F" w:rsidR="00F73470" w:rsidRPr="0025662D" w:rsidRDefault="00F73470" w:rsidP="00335BED">
      <w:pPr>
        <w:numPr>
          <w:ilvl w:val="0"/>
          <w:numId w:val="8"/>
        </w:numPr>
        <w:jc w:val="both"/>
        <w:rPr>
          <w:rFonts w:ascii="Arial" w:hAnsi="Arial" w:cs="Arial"/>
          <w:sz w:val="20"/>
          <w:szCs w:val="20"/>
        </w:rPr>
      </w:pPr>
      <w:r w:rsidRPr="0025662D">
        <w:rPr>
          <w:rFonts w:ascii="Arial" w:hAnsi="Arial" w:cs="Arial"/>
          <w:b/>
          <w:bCs/>
          <w:sz w:val="20"/>
          <w:szCs w:val="20"/>
        </w:rPr>
        <w:t>The Impact of Policy and Regulation:</w:t>
      </w:r>
      <w:r w:rsidRPr="0025662D">
        <w:rPr>
          <w:rFonts w:ascii="Arial" w:hAnsi="Arial" w:cs="Arial"/>
          <w:sz w:val="20"/>
          <w:szCs w:val="20"/>
        </w:rPr>
        <w:t xml:space="preserve"> Given the </w:t>
      </w:r>
      <w:r w:rsidR="00884EDB" w:rsidRPr="0025662D">
        <w:rPr>
          <w:rFonts w:ascii="Arial" w:hAnsi="Arial" w:cs="Arial"/>
          <w:sz w:val="20"/>
          <w:szCs w:val="20"/>
        </w:rPr>
        <w:t xml:space="preserve">recent </w:t>
      </w:r>
      <w:r w:rsidRPr="0025662D">
        <w:rPr>
          <w:rFonts w:ascii="Arial" w:hAnsi="Arial" w:cs="Arial"/>
          <w:sz w:val="20"/>
          <w:szCs w:val="20"/>
        </w:rPr>
        <w:t>policy shifts under a new government and the accelerated decline of oil and gas</w:t>
      </w:r>
      <w:r w:rsidR="00884EDB" w:rsidRPr="0025662D">
        <w:rPr>
          <w:rFonts w:ascii="Arial" w:hAnsi="Arial" w:cs="Arial"/>
          <w:sz w:val="20"/>
          <w:szCs w:val="20"/>
        </w:rPr>
        <w:t xml:space="preserve"> industry in the UK</w:t>
      </w:r>
      <w:r w:rsidRPr="0025662D">
        <w:rPr>
          <w:rFonts w:ascii="Arial" w:hAnsi="Arial" w:cs="Arial"/>
          <w:sz w:val="20"/>
          <w:szCs w:val="20"/>
        </w:rPr>
        <w:t xml:space="preserve">, it is crucial to explore the implications of regulatory </w:t>
      </w:r>
      <w:r w:rsidR="00884EDB" w:rsidRPr="0025662D">
        <w:rPr>
          <w:rFonts w:ascii="Arial" w:hAnsi="Arial" w:cs="Arial"/>
          <w:sz w:val="20"/>
          <w:szCs w:val="20"/>
        </w:rPr>
        <w:t>changes and externalities on what we do</w:t>
      </w:r>
      <w:r w:rsidRPr="0025662D">
        <w:rPr>
          <w:rFonts w:ascii="Arial" w:hAnsi="Arial" w:cs="Arial"/>
          <w:sz w:val="20"/>
          <w:szCs w:val="20"/>
        </w:rPr>
        <w:t xml:space="preserve"> </w:t>
      </w:r>
    </w:p>
    <w:p w14:paraId="0EFCCD92" w14:textId="2681960E" w:rsidR="00F73470" w:rsidRPr="0025662D" w:rsidRDefault="00F73470" w:rsidP="00335BED">
      <w:pPr>
        <w:numPr>
          <w:ilvl w:val="0"/>
          <w:numId w:val="8"/>
        </w:numPr>
        <w:jc w:val="both"/>
        <w:rPr>
          <w:rFonts w:ascii="Arial" w:hAnsi="Arial" w:cs="Arial"/>
          <w:sz w:val="20"/>
          <w:szCs w:val="20"/>
        </w:rPr>
      </w:pPr>
      <w:r w:rsidRPr="0025662D">
        <w:rPr>
          <w:rFonts w:ascii="Arial" w:hAnsi="Arial" w:cs="Arial"/>
          <w:b/>
          <w:bCs/>
          <w:sz w:val="20"/>
          <w:szCs w:val="20"/>
        </w:rPr>
        <w:t>Safety and Risk Management:</w:t>
      </w:r>
      <w:r w:rsidRPr="0025662D">
        <w:rPr>
          <w:rFonts w:ascii="Arial" w:hAnsi="Arial" w:cs="Arial"/>
          <w:sz w:val="20"/>
          <w:szCs w:val="20"/>
        </w:rPr>
        <w:t xml:space="preserve"> As the industry bridges between oil &amp; gas, renewables and nuclear, safety becomes a paramount theme. Decommissioning in all sectors involves high risks, and this theme will focus on best practices, regulatory compliance, and new technologies that enable the safe project execution</w:t>
      </w:r>
    </w:p>
    <w:p w14:paraId="13671277" w14:textId="54664E15" w:rsidR="00F73470" w:rsidRPr="0025662D" w:rsidRDefault="00F73470" w:rsidP="00335BED">
      <w:pPr>
        <w:numPr>
          <w:ilvl w:val="0"/>
          <w:numId w:val="8"/>
        </w:numPr>
        <w:jc w:val="both"/>
        <w:rPr>
          <w:rFonts w:ascii="Arial" w:hAnsi="Arial" w:cs="Arial"/>
          <w:sz w:val="20"/>
          <w:szCs w:val="20"/>
        </w:rPr>
      </w:pPr>
      <w:r w:rsidRPr="0025662D">
        <w:rPr>
          <w:rFonts w:ascii="Arial" w:hAnsi="Arial" w:cs="Arial"/>
          <w:b/>
          <w:bCs/>
          <w:sz w:val="20"/>
          <w:szCs w:val="20"/>
        </w:rPr>
        <w:t>Education and Skills for the Future:</w:t>
      </w:r>
      <w:r w:rsidRPr="0025662D">
        <w:rPr>
          <w:rFonts w:ascii="Arial" w:hAnsi="Arial" w:cs="Arial"/>
          <w:sz w:val="20"/>
          <w:szCs w:val="20"/>
        </w:rPr>
        <w:t xml:space="preserve"> Given the aging workforce and the gap in decommissioning-specific training, this theme will emphasize the need for education and reskilling. As decommissioning requires both transferable and specialized skills, </w:t>
      </w:r>
      <w:r w:rsidR="00182B5E" w:rsidRPr="0025662D">
        <w:rPr>
          <w:rFonts w:ascii="Arial" w:hAnsi="Arial" w:cs="Arial"/>
          <w:sz w:val="20"/>
          <w:szCs w:val="20"/>
        </w:rPr>
        <w:t xml:space="preserve">there is a need for </w:t>
      </w:r>
      <w:r w:rsidRPr="0025662D">
        <w:rPr>
          <w:rFonts w:ascii="Arial" w:hAnsi="Arial" w:cs="Arial"/>
          <w:sz w:val="20"/>
          <w:szCs w:val="20"/>
        </w:rPr>
        <w:t>partnerships between academia and industry, promotion of STEM fields, and reskilling initiatives to transition professionals from oil and gas into renewables and nuclear sectors</w:t>
      </w:r>
    </w:p>
    <w:p w14:paraId="743C0A16" w14:textId="77777777" w:rsidR="00F73470" w:rsidRPr="0025662D" w:rsidRDefault="00F73470" w:rsidP="00335BED">
      <w:pPr>
        <w:numPr>
          <w:ilvl w:val="0"/>
          <w:numId w:val="8"/>
        </w:numPr>
        <w:jc w:val="both"/>
        <w:rPr>
          <w:rFonts w:ascii="Arial" w:hAnsi="Arial" w:cs="Arial"/>
          <w:sz w:val="20"/>
          <w:szCs w:val="20"/>
        </w:rPr>
      </w:pPr>
      <w:r w:rsidRPr="0025662D">
        <w:rPr>
          <w:rFonts w:ascii="Arial" w:hAnsi="Arial" w:cs="Arial"/>
          <w:b/>
          <w:bCs/>
          <w:sz w:val="20"/>
          <w:szCs w:val="20"/>
        </w:rPr>
        <w:t>Technological Innovation and Sustainability:</w:t>
      </w:r>
      <w:r w:rsidRPr="0025662D">
        <w:rPr>
          <w:rFonts w:ascii="Arial" w:hAnsi="Arial" w:cs="Arial"/>
          <w:sz w:val="20"/>
          <w:szCs w:val="20"/>
        </w:rPr>
        <w:t xml:space="preserve"> Advances in technology, such as AI, robotics, and data analytics, are transforming decommissioning practices. This theme will showcase how these innovations make processes more efficient, cost-effective, and environmentally friendly, with a focus on sustainability as part of the energy transition.</w:t>
      </w:r>
    </w:p>
    <w:p w14:paraId="3E5BEA4C" w14:textId="73CE61E7" w:rsidR="00F73470" w:rsidRPr="0025662D" w:rsidRDefault="00F73470" w:rsidP="00335BED">
      <w:pPr>
        <w:numPr>
          <w:ilvl w:val="0"/>
          <w:numId w:val="8"/>
        </w:numPr>
        <w:jc w:val="both"/>
        <w:rPr>
          <w:rFonts w:ascii="Arial" w:hAnsi="Arial" w:cs="Arial"/>
          <w:sz w:val="20"/>
          <w:szCs w:val="20"/>
        </w:rPr>
      </w:pPr>
      <w:r w:rsidRPr="0025662D">
        <w:rPr>
          <w:rFonts w:ascii="Arial" w:hAnsi="Arial" w:cs="Arial"/>
          <w:b/>
          <w:bCs/>
          <w:sz w:val="20"/>
          <w:szCs w:val="20"/>
        </w:rPr>
        <w:t xml:space="preserve">Collaboration Across Sectors: </w:t>
      </w:r>
      <w:r w:rsidRPr="0025662D">
        <w:rPr>
          <w:rFonts w:ascii="Arial" w:hAnsi="Arial" w:cs="Arial"/>
          <w:sz w:val="20"/>
          <w:szCs w:val="20"/>
        </w:rPr>
        <w:t xml:space="preserve">Decommissioning, particularly at the intersection of oil, gas, and nuclear, demands collaboration between sectors. Centred on public-private partnerships, industry consortia, and shared knowledge, this </w:t>
      </w:r>
      <w:r w:rsidR="00AB1462" w:rsidRPr="0025662D">
        <w:rPr>
          <w:rFonts w:ascii="Arial" w:hAnsi="Arial" w:cs="Arial"/>
          <w:sz w:val="20"/>
          <w:szCs w:val="20"/>
        </w:rPr>
        <w:t xml:space="preserve">theme </w:t>
      </w:r>
      <w:r w:rsidRPr="0025662D">
        <w:rPr>
          <w:rFonts w:ascii="Arial" w:hAnsi="Arial" w:cs="Arial"/>
          <w:sz w:val="20"/>
          <w:szCs w:val="20"/>
        </w:rPr>
        <w:t>address</w:t>
      </w:r>
      <w:r w:rsidR="00AB1462" w:rsidRPr="0025662D">
        <w:rPr>
          <w:rFonts w:ascii="Arial" w:hAnsi="Arial" w:cs="Arial"/>
          <w:sz w:val="20"/>
          <w:szCs w:val="20"/>
        </w:rPr>
        <w:t>es</w:t>
      </w:r>
      <w:r w:rsidRPr="0025662D">
        <w:rPr>
          <w:rFonts w:ascii="Arial" w:hAnsi="Arial" w:cs="Arial"/>
          <w:sz w:val="20"/>
          <w:szCs w:val="20"/>
        </w:rPr>
        <w:t xml:space="preserve"> the necessity of collective action to drive efficiency and innovation.</w:t>
      </w:r>
    </w:p>
    <w:p w14:paraId="67D2ABF6" w14:textId="5E24109B" w:rsidR="001445A2" w:rsidRPr="0025662D" w:rsidRDefault="00F73470" w:rsidP="00335BED">
      <w:pPr>
        <w:numPr>
          <w:ilvl w:val="0"/>
          <w:numId w:val="8"/>
        </w:numPr>
        <w:jc w:val="both"/>
        <w:rPr>
          <w:rFonts w:ascii="Arial" w:hAnsi="Arial" w:cs="Arial"/>
          <w:sz w:val="20"/>
          <w:szCs w:val="20"/>
        </w:rPr>
      </w:pPr>
      <w:r w:rsidRPr="0025662D">
        <w:rPr>
          <w:rFonts w:ascii="Arial" w:hAnsi="Arial" w:cs="Arial"/>
          <w:b/>
          <w:bCs/>
          <w:sz w:val="20"/>
          <w:szCs w:val="20"/>
        </w:rPr>
        <w:t>Understanding Uncertainty and Scenario Planning:</w:t>
      </w:r>
      <w:r w:rsidRPr="0025662D">
        <w:rPr>
          <w:rFonts w:ascii="Arial" w:hAnsi="Arial" w:cs="Arial"/>
          <w:sz w:val="20"/>
          <w:szCs w:val="20"/>
        </w:rPr>
        <w:t xml:space="preserve"> Addressing the unpredictable nature of decommissioning, from fluctuating markets to changing technologies, this theme will help stakeholders better manage risks. Focused on scenario planning, adaptive project management, and data analytics to forecast timelines and costs, it will enable process that are more predictable and financially viable.</w:t>
      </w:r>
    </w:p>
    <w:p w14:paraId="7855AA83" w14:textId="38A71E92" w:rsidR="008E5119" w:rsidRPr="0025662D" w:rsidRDefault="008E5119" w:rsidP="00335BED">
      <w:pPr>
        <w:jc w:val="both"/>
        <w:rPr>
          <w:rFonts w:ascii="Arial" w:hAnsi="Arial" w:cs="Arial"/>
          <w:b/>
          <w:bCs/>
          <w:sz w:val="20"/>
          <w:szCs w:val="20"/>
        </w:rPr>
      </w:pPr>
      <w:r w:rsidRPr="0025662D">
        <w:rPr>
          <w:rFonts w:ascii="Arial" w:hAnsi="Arial" w:cs="Arial"/>
          <w:b/>
          <w:bCs/>
          <w:color w:val="ED7D31" w:themeColor="accent2"/>
          <w:sz w:val="20"/>
          <w:szCs w:val="20"/>
        </w:rPr>
        <w:t>Timings</w:t>
      </w:r>
      <w:r w:rsidRPr="0025662D">
        <w:rPr>
          <w:rFonts w:ascii="Arial" w:hAnsi="Arial" w:cs="Arial"/>
          <w:b/>
          <w:bCs/>
          <w:sz w:val="20"/>
          <w:szCs w:val="20"/>
        </w:rPr>
        <w:t xml:space="preserve"> </w:t>
      </w:r>
    </w:p>
    <w:p w14:paraId="2D777F2B" w14:textId="30AD1DAB" w:rsidR="0064118D" w:rsidRPr="0025662D" w:rsidRDefault="0064118D" w:rsidP="00335BED">
      <w:pPr>
        <w:jc w:val="both"/>
        <w:rPr>
          <w:rFonts w:ascii="Arial" w:hAnsi="Arial" w:cs="Arial"/>
          <w:sz w:val="20"/>
          <w:szCs w:val="20"/>
        </w:rPr>
      </w:pPr>
      <w:r w:rsidRPr="0025662D">
        <w:rPr>
          <w:rFonts w:ascii="Arial" w:hAnsi="Arial" w:cs="Arial"/>
          <w:sz w:val="20"/>
          <w:szCs w:val="20"/>
        </w:rPr>
        <w:t>Authors are encouraged to frame their paper or presentation in line with the following timings.</w:t>
      </w:r>
    </w:p>
    <w:p w14:paraId="385151E9" w14:textId="77777777" w:rsidR="006057CD" w:rsidRPr="0025662D" w:rsidRDefault="008E5119" w:rsidP="00335BED">
      <w:pPr>
        <w:pStyle w:val="ListParagraph"/>
        <w:numPr>
          <w:ilvl w:val="0"/>
          <w:numId w:val="6"/>
        </w:numPr>
        <w:spacing w:after="0" w:line="240" w:lineRule="auto"/>
        <w:contextualSpacing w:val="0"/>
        <w:jc w:val="both"/>
        <w:rPr>
          <w:rFonts w:ascii="Arial" w:eastAsia="Times New Roman" w:hAnsi="Arial" w:cs="Arial"/>
          <w:sz w:val="20"/>
          <w:szCs w:val="20"/>
        </w:rPr>
      </w:pPr>
      <w:r w:rsidRPr="0025662D">
        <w:rPr>
          <w:rFonts w:ascii="Arial" w:eastAsia="Times New Roman" w:hAnsi="Arial" w:cs="Arial"/>
          <w:b/>
          <w:bCs/>
          <w:sz w:val="20"/>
          <w:szCs w:val="20"/>
        </w:rPr>
        <w:t>15-Minute Quick Insight Talks</w:t>
      </w:r>
      <w:r w:rsidRPr="0025662D">
        <w:rPr>
          <w:rFonts w:ascii="Arial" w:eastAsia="Times New Roman" w:hAnsi="Arial" w:cs="Arial"/>
          <w:sz w:val="20"/>
          <w:szCs w:val="20"/>
        </w:rPr>
        <w:t xml:space="preserve">: </w:t>
      </w:r>
      <w:r w:rsidRPr="0025662D">
        <w:rPr>
          <w:rFonts w:ascii="Arial" w:eastAsia="Times New Roman" w:hAnsi="Arial" w:cs="Arial"/>
          <w:i/>
          <w:iCs/>
          <w:sz w:val="20"/>
          <w:szCs w:val="20"/>
        </w:rPr>
        <w:t>"Spark Sessions"</w:t>
      </w:r>
      <w:r w:rsidRPr="0025662D">
        <w:rPr>
          <w:rFonts w:ascii="Arial" w:eastAsia="Times New Roman" w:hAnsi="Arial" w:cs="Arial"/>
          <w:sz w:val="20"/>
          <w:szCs w:val="20"/>
        </w:rPr>
        <w:t xml:space="preserve"> </w:t>
      </w:r>
    </w:p>
    <w:p w14:paraId="097B6824" w14:textId="610329EA" w:rsidR="008E5119" w:rsidRPr="0025662D" w:rsidRDefault="008E5119" w:rsidP="00335BED">
      <w:pPr>
        <w:pStyle w:val="ListParagraph"/>
        <w:spacing w:after="0" w:line="240" w:lineRule="auto"/>
        <w:contextualSpacing w:val="0"/>
        <w:jc w:val="both"/>
        <w:rPr>
          <w:rFonts w:ascii="Arial" w:eastAsia="Times New Roman" w:hAnsi="Arial" w:cs="Arial"/>
          <w:sz w:val="20"/>
          <w:szCs w:val="20"/>
        </w:rPr>
      </w:pPr>
      <w:r w:rsidRPr="0025662D">
        <w:rPr>
          <w:rFonts w:ascii="Arial" w:eastAsia="Times New Roman" w:hAnsi="Arial" w:cs="Arial"/>
          <w:sz w:val="20"/>
          <w:szCs w:val="20"/>
        </w:rPr>
        <w:t>Fast-paced, high-energy bursts of insights, offering concise perspectives and inspiring ideas to ignite new thinking.</w:t>
      </w:r>
    </w:p>
    <w:p w14:paraId="5A28EE88" w14:textId="77777777" w:rsidR="00BC6FF5" w:rsidRPr="0025662D" w:rsidRDefault="00BC6FF5" w:rsidP="00335BED">
      <w:pPr>
        <w:pStyle w:val="ListParagraph"/>
        <w:spacing w:after="0" w:line="240" w:lineRule="auto"/>
        <w:contextualSpacing w:val="0"/>
        <w:jc w:val="both"/>
        <w:rPr>
          <w:rFonts w:ascii="Arial" w:eastAsia="Times New Roman" w:hAnsi="Arial" w:cs="Arial"/>
          <w:sz w:val="20"/>
          <w:szCs w:val="20"/>
        </w:rPr>
      </w:pPr>
    </w:p>
    <w:p w14:paraId="40CD0404" w14:textId="77777777" w:rsidR="006057CD" w:rsidRPr="0025662D" w:rsidRDefault="008E5119" w:rsidP="00335BED">
      <w:pPr>
        <w:pStyle w:val="ListParagraph"/>
        <w:numPr>
          <w:ilvl w:val="0"/>
          <w:numId w:val="6"/>
        </w:numPr>
        <w:spacing w:after="0" w:line="240" w:lineRule="auto"/>
        <w:contextualSpacing w:val="0"/>
        <w:jc w:val="both"/>
        <w:rPr>
          <w:rFonts w:ascii="Arial" w:eastAsia="Times New Roman" w:hAnsi="Arial" w:cs="Arial"/>
          <w:sz w:val="20"/>
          <w:szCs w:val="20"/>
        </w:rPr>
      </w:pPr>
      <w:r w:rsidRPr="0025662D">
        <w:rPr>
          <w:rFonts w:ascii="Arial" w:eastAsia="Times New Roman" w:hAnsi="Arial" w:cs="Arial"/>
          <w:b/>
          <w:bCs/>
          <w:sz w:val="20"/>
          <w:szCs w:val="20"/>
        </w:rPr>
        <w:t>30-Minute Deeper Tell</w:t>
      </w:r>
      <w:r w:rsidRPr="0025662D">
        <w:rPr>
          <w:rFonts w:ascii="Arial" w:eastAsia="Times New Roman" w:hAnsi="Arial" w:cs="Arial"/>
          <w:sz w:val="20"/>
          <w:szCs w:val="20"/>
        </w:rPr>
        <w:t xml:space="preserve">: </w:t>
      </w:r>
      <w:r w:rsidRPr="0025662D">
        <w:rPr>
          <w:rFonts w:ascii="Arial" w:eastAsia="Times New Roman" w:hAnsi="Arial" w:cs="Arial"/>
          <w:i/>
          <w:iCs/>
          <w:sz w:val="20"/>
          <w:szCs w:val="20"/>
        </w:rPr>
        <w:t>"Focus talk”</w:t>
      </w:r>
      <w:r w:rsidRPr="0025662D">
        <w:rPr>
          <w:rFonts w:ascii="Arial" w:eastAsia="Times New Roman" w:hAnsi="Arial" w:cs="Arial"/>
          <w:sz w:val="20"/>
          <w:szCs w:val="20"/>
        </w:rPr>
        <w:t xml:space="preserve"> </w:t>
      </w:r>
    </w:p>
    <w:p w14:paraId="5E56ECFE" w14:textId="34C31372" w:rsidR="008E5119" w:rsidRPr="0025662D" w:rsidRDefault="008E5119" w:rsidP="00335BED">
      <w:pPr>
        <w:pStyle w:val="ListParagraph"/>
        <w:spacing w:after="0" w:line="240" w:lineRule="auto"/>
        <w:contextualSpacing w:val="0"/>
        <w:jc w:val="both"/>
        <w:rPr>
          <w:rFonts w:ascii="Arial" w:eastAsia="Times New Roman" w:hAnsi="Arial" w:cs="Arial"/>
          <w:sz w:val="20"/>
          <w:szCs w:val="20"/>
        </w:rPr>
      </w:pPr>
      <w:r w:rsidRPr="0025662D">
        <w:rPr>
          <w:rFonts w:ascii="Arial" w:eastAsia="Times New Roman" w:hAnsi="Arial" w:cs="Arial"/>
          <w:sz w:val="20"/>
          <w:szCs w:val="20"/>
        </w:rPr>
        <w:t>A chance to dive deeper, these sessions provide a more comprehensive look at key topics, sharing in-depth knowledge and relevant examples to build understanding.</w:t>
      </w:r>
    </w:p>
    <w:p w14:paraId="7AE2D71D" w14:textId="77777777" w:rsidR="00BC6FF5" w:rsidRPr="0025662D" w:rsidRDefault="00BC6FF5" w:rsidP="00335BED">
      <w:pPr>
        <w:pStyle w:val="ListParagraph"/>
        <w:spacing w:after="0" w:line="240" w:lineRule="auto"/>
        <w:contextualSpacing w:val="0"/>
        <w:jc w:val="both"/>
        <w:rPr>
          <w:rFonts w:ascii="Arial" w:eastAsia="Times New Roman" w:hAnsi="Arial" w:cs="Arial"/>
          <w:sz w:val="20"/>
          <w:szCs w:val="20"/>
        </w:rPr>
      </w:pPr>
    </w:p>
    <w:p w14:paraId="243B997A" w14:textId="77777777" w:rsidR="006057CD" w:rsidRPr="0025662D" w:rsidRDefault="008E5119" w:rsidP="00335BED">
      <w:pPr>
        <w:pStyle w:val="ListParagraph"/>
        <w:numPr>
          <w:ilvl w:val="0"/>
          <w:numId w:val="6"/>
        </w:numPr>
        <w:spacing w:after="0" w:line="240" w:lineRule="auto"/>
        <w:contextualSpacing w:val="0"/>
        <w:jc w:val="both"/>
        <w:rPr>
          <w:rFonts w:ascii="Arial" w:eastAsia="Times New Roman" w:hAnsi="Arial" w:cs="Arial"/>
          <w:sz w:val="20"/>
          <w:szCs w:val="20"/>
        </w:rPr>
      </w:pPr>
      <w:r w:rsidRPr="0025662D">
        <w:rPr>
          <w:rFonts w:ascii="Arial" w:eastAsia="Times New Roman" w:hAnsi="Arial" w:cs="Arial"/>
          <w:b/>
          <w:bCs/>
          <w:sz w:val="20"/>
          <w:szCs w:val="20"/>
        </w:rPr>
        <w:t>45-Minute Audience Participation &amp; Explore Thinking</w:t>
      </w:r>
      <w:r w:rsidRPr="0025662D">
        <w:rPr>
          <w:rFonts w:ascii="Arial" w:eastAsia="Times New Roman" w:hAnsi="Arial" w:cs="Arial"/>
          <w:sz w:val="20"/>
          <w:szCs w:val="20"/>
        </w:rPr>
        <w:t xml:space="preserve">: </w:t>
      </w:r>
      <w:r w:rsidRPr="0025662D">
        <w:rPr>
          <w:rFonts w:ascii="Arial" w:eastAsia="Times New Roman" w:hAnsi="Arial" w:cs="Arial"/>
          <w:i/>
          <w:iCs/>
          <w:sz w:val="20"/>
          <w:szCs w:val="20"/>
        </w:rPr>
        <w:t>"Engage &amp; Explore"</w:t>
      </w:r>
      <w:r w:rsidRPr="0025662D">
        <w:rPr>
          <w:rFonts w:ascii="Arial" w:eastAsia="Times New Roman" w:hAnsi="Arial" w:cs="Arial"/>
          <w:sz w:val="20"/>
          <w:szCs w:val="20"/>
        </w:rPr>
        <w:t xml:space="preserve"> </w:t>
      </w:r>
    </w:p>
    <w:p w14:paraId="47CEA3CA" w14:textId="061FC799" w:rsidR="008E5119" w:rsidRPr="0025662D" w:rsidRDefault="008E5119" w:rsidP="00335BED">
      <w:pPr>
        <w:pStyle w:val="ListParagraph"/>
        <w:spacing w:after="0" w:line="240" w:lineRule="auto"/>
        <w:contextualSpacing w:val="0"/>
        <w:jc w:val="both"/>
        <w:rPr>
          <w:rFonts w:ascii="Arial" w:eastAsia="Times New Roman" w:hAnsi="Arial" w:cs="Arial"/>
          <w:sz w:val="20"/>
          <w:szCs w:val="20"/>
        </w:rPr>
      </w:pPr>
      <w:r w:rsidRPr="0025662D">
        <w:rPr>
          <w:rFonts w:ascii="Arial" w:eastAsia="Times New Roman" w:hAnsi="Arial" w:cs="Arial"/>
          <w:sz w:val="20"/>
          <w:szCs w:val="20"/>
        </w:rPr>
        <w:t>Interactive sessions designed to involve participants, encouraging them to unpack ideas together, ask questions, and exchange perspectives for enriched learning.</w:t>
      </w:r>
    </w:p>
    <w:p w14:paraId="5F900019" w14:textId="77777777" w:rsidR="00BC6FF5" w:rsidRPr="0025662D" w:rsidRDefault="00BC6FF5" w:rsidP="00335BED">
      <w:pPr>
        <w:pStyle w:val="ListParagraph"/>
        <w:spacing w:after="0" w:line="240" w:lineRule="auto"/>
        <w:contextualSpacing w:val="0"/>
        <w:jc w:val="both"/>
        <w:rPr>
          <w:rFonts w:ascii="Arial" w:eastAsia="Times New Roman" w:hAnsi="Arial" w:cs="Arial"/>
          <w:sz w:val="20"/>
          <w:szCs w:val="20"/>
        </w:rPr>
      </w:pPr>
    </w:p>
    <w:p w14:paraId="2993E697" w14:textId="77777777" w:rsidR="006057CD" w:rsidRPr="0025662D" w:rsidRDefault="008E5119" w:rsidP="00335BED">
      <w:pPr>
        <w:pStyle w:val="ListParagraph"/>
        <w:numPr>
          <w:ilvl w:val="0"/>
          <w:numId w:val="6"/>
        </w:numPr>
        <w:spacing w:after="0" w:line="240" w:lineRule="auto"/>
        <w:contextualSpacing w:val="0"/>
        <w:jc w:val="both"/>
        <w:rPr>
          <w:rFonts w:ascii="Arial" w:eastAsia="Times New Roman" w:hAnsi="Arial" w:cs="Arial"/>
          <w:sz w:val="20"/>
          <w:szCs w:val="20"/>
        </w:rPr>
      </w:pPr>
      <w:r w:rsidRPr="0025662D">
        <w:rPr>
          <w:rFonts w:ascii="Arial" w:eastAsia="Times New Roman" w:hAnsi="Arial" w:cs="Arial"/>
          <w:b/>
          <w:bCs/>
          <w:sz w:val="20"/>
          <w:szCs w:val="20"/>
        </w:rPr>
        <w:t>60-Minute Learning Session</w:t>
      </w:r>
      <w:r w:rsidRPr="0025662D">
        <w:rPr>
          <w:rFonts w:ascii="Arial" w:eastAsia="Times New Roman" w:hAnsi="Arial" w:cs="Arial"/>
          <w:sz w:val="20"/>
          <w:szCs w:val="20"/>
        </w:rPr>
        <w:t xml:space="preserve">: </w:t>
      </w:r>
      <w:r w:rsidRPr="0025662D">
        <w:rPr>
          <w:rFonts w:ascii="Arial" w:eastAsia="Times New Roman" w:hAnsi="Arial" w:cs="Arial"/>
          <w:i/>
          <w:iCs/>
          <w:sz w:val="20"/>
          <w:szCs w:val="20"/>
        </w:rPr>
        <w:t>"Learning Lab"</w:t>
      </w:r>
      <w:r w:rsidRPr="0025662D">
        <w:rPr>
          <w:rFonts w:ascii="Arial" w:eastAsia="Times New Roman" w:hAnsi="Arial" w:cs="Arial"/>
          <w:sz w:val="20"/>
          <w:szCs w:val="20"/>
        </w:rPr>
        <w:t xml:space="preserve"> </w:t>
      </w:r>
    </w:p>
    <w:p w14:paraId="5D6E5C37" w14:textId="0045FBCC" w:rsidR="008E5119" w:rsidRPr="0025662D" w:rsidRDefault="008E5119" w:rsidP="00335BED">
      <w:pPr>
        <w:pStyle w:val="ListParagraph"/>
        <w:spacing w:after="0" w:line="240" w:lineRule="auto"/>
        <w:contextualSpacing w:val="0"/>
        <w:jc w:val="both"/>
        <w:rPr>
          <w:rFonts w:ascii="Arial" w:eastAsia="Times New Roman" w:hAnsi="Arial" w:cs="Arial"/>
          <w:sz w:val="20"/>
          <w:szCs w:val="20"/>
        </w:rPr>
      </w:pPr>
      <w:r w:rsidRPr="0025662D">
        <w:rPr>
          <w:rFonts w:ascii="Arial" w:eastAsia="Times New Roman" w:hAnsi="Arial" w:cs="Arial"/>
          <w:sz w:val="20"/>
          <w:szCs w:val="20"/>
        </w:rPr>
        <w:t>Hands-on, practical workshops where participants actively build and create, gaining skills they can apply directly in their roles and projects.</w:t>
      </w:r>
    </w:p>
    <w:p w14:paraId="40E84F9C" w14:textId="77777777" w:rsidR="00BC6FF5" w:rsidRPr="0025662D" w:rsidRDefault="00BC6FF5" w:rsidP="00335BED">
      <w:pPr>
        <w:pStyle w:val="ListParagraph"/>
        <w:spacing w:after="0" w:line="240" w:lineRule="auto"/>
        <w:contextualSpacing w:val="0"/>
        <w:jc w:val="both"/>
        <w:rPr>
          <w:rFonts w:ascii="Arial" w:eastAsia="Times New Roman" w:hAnsi="Arial" w:cs="Arial"/>
          <w:sz w:val="20"/>
          <w:szCs w:val="20"/>
        </w:rPr>
      </w:pPr>
    </w:p>
    <w:p w14:paraId="2B426445" w14:textId="77777777" w:rsidR="006057CD" w:rsidRPr="0025662D" w:rsidRDefault="008E5119" w:rsidP="00335BED">
      <w:pPr>
        <w:pStyle w:val="ListParagraph"/>
        <w:numPr>
          <w:ilvl w:val="0"/>
          <w:numId w:val="6"/>
        </w:numPr>
        <w:spacing w:after="0" w:line="240" w:lineRule="auto"/>
        <w:contextualSpacing w:val="0"/>
        <w:jc w:val="both"/>
        <w:rPr>
          <w:rFonts w:ascii="Arial" w:eastAsia="Times New Roman" w:hAnsi="Arial" w:cs="Arial"/>
          <w:sz w:val="20"/>
          <w:szCs w:val="20"/>
        </w:rPr>
      </w:pPr>
      <w:r w:rsidRPr="0025662D">
        <w:rPr>
          <w:rFonts w:ascii="Arial" w:eastAsia="Times New Roman" w:hAnsi="Arial" w:cs="Arial"/>
          <w:b/>
          <w:bCs/>
          <w:sz w:val="20"/>
          <w:szCs w:val="20"/>
        </w:rPr>
        <w:t>60-Minute Focus Group</w:t>
      </w:r>
      <w:r w:rsidRPr="0025662D">
        <w:rPr>
          <w:rFonts w:ascii="Arial" w:eastAsia="Times New Roman" w:hAnsi="Arial" w:cs="Arial"/>
          <w:sz w:val="20"/>
          <w:szCs w:val="20"/>
        </w:rPr>
        <w:t>: </w:t>
      </w:r>
      <w:r w:rsidRPr="0025662D">
        <w:rPr>
          <w:rFonts w:ascii="Arial" w:eastAsia="Times New Roman" w:hAnsi="Arial" w:cs="Arial"/>
          <w:i/>
          <w:iCs/>
          <w:sz w:val="20"/>
          <w:szCs w:val="20"/>
        </w:rPr>
        <w:t>"Collaborative Insights"</w:t>
      </w:r>
      <w:r w:rsidRPr="0025662D">
        <w:rPr>
          <w:rFonts w:ascii="Arial" w:eastAsia="Times New Roman" w:hAnsi="Arial" w:cs="Arial"/>
          <w:sz w:val="20"/>
          <w:szCs w:val="20"/>
        </w:rPr>
        <w:t> </w:t>
      </w:r>
    </w:p>
    <w:p w14:paraId="6DD49008" w14:textId="0A048B12" w:rsidR="008E5119" w:rsidRPr="0025662D" w:rsidRDefault="008E5119" w:rsidP="00335BED">
      <w:pPr>
        <w:pStyle w:val="ListParagraph"/>
        <w:spacing w:after="0" w:line="240" w:lineRule="auto"/>
        <w:contextualSpacing w:val="0"/>
        <w:jc w:val="both"/>
        <w:rPr>
          <w:rFonts w:ascii="Arial" w:eastAsia="Times New Roman" w:hAnsi="Arial" w:cs="Arial"/>
          <w:sz w:val="20"/>
          <w:szCs w:val="20"/>
        </w:rPr>
      </w:pPr>
      <w:r w:rsidRPr="0025662D">
        <w:rPr>
          <w:rFonts w:ascii="Arial" w:eastAsia="Times New Roman" w:hAnsi="Arial" w:cs="Arial"/>
          <w:sz w:val="20"/>
          <w:szCs w:val="20"/>
        </w:rPr>
        <w:t>A guided session designed for deep exploration and feedback, where participants share their experiences, challenges, and insights to co-create solutions and shape future strategies.</w:t>
      </w:r>
    </w:p>
    <w:p w14:paraId="646EEE51" w14:textId="77777777" w:rsidR="003E497C" w:rsidRDefault="003E497C" w:rsidP="00335BED">
      <w:pPr>
        <w:jc w:val="both"/>
        <w:rPr>
          <w:rFonts w:ascii="Arial" w:hAnsi="Arial" w:cs="Arial"/>
          <w:b/>
          <w:bCs/>
        </w:rPr>
      </w:pPr>
    </w:p>
    <w:p w14:paraId="2897C0B2" w14:textId="5DCEF6E1" w:rsidR="003014F6" w:rsidRPr="009151A5" w:rsidRDefault="00F115C0" w:rsidP="00335BED">
      <w:pPr>
        <w:jc w:val="both"/>
        <w:rPr>
          <w:rFonts w:ascii="Arial" w:hAnsi="Arial" w:cs="Arial"/>
          <w:b/>
          <w:bCs/>
        </w:rPr>
      </w:pPr>
      <w:r w:rsidRPr="009151A5">
        <w:rPr>
          <w:rFonts w:ascii="Arial" w:hAnsi="Arial" w:cs="Arial"/>
          <w:b/>
          <w:bCs/>
        </w:rPr>
        <w:lastRenderedPageBreak/>
        <w:t xml:space="preserve">Submissions must be completed and returned to </w:t>
      </w:r>
      <w:hyperlink r:id="rId12" w:history="1">
        <w:r w:rsidRPr="009151A5">
          <w:rPr>
            <w:rStyle w:val="Hyperlink"/>
            <w:rFonts w:ascii="Arial" w:hAnsi="Arial" w:cs="Arial"/>
            <w:b/>
            <w:bCs/>
          </w:rPr>
          <w:t>events@decommission.net</w:t>
        </w:r>
      </w:hyperlink>
      <w:r w:rsidRPr="009151A5">
        <w:rPr>
          <w:rFonts w:ascii="Arial" w:hAnsi="Arial" w:cs="Arial"/>
          <w:b/>
          <w:bCs/>
        </w:rPr>
        <w:t xml:space="preserve"> by</w:t>
      </w:r>
      <w:r w:rsidR="004013C9" w:rsidRPr="009151A5">
        <w:rPr>
          <w:rFonts w:ascii="Arial" w:hAnsi="Arial" w:cs="Arial"/>
          <w:b/>
          <w:bCs/>
        </w:rPr>
        <w:t xml:space="preserve"> </w:t>
      </w:r>
      <w:r w:rsidR="00CC174B">
        <w:rPr>
          <w:rFonts w:ascii="Arial" w:hAnsi="Arial" w:cs="Arial"/>
          <w:b/>
          <w:bCs/>
        </w:rPr>
        <w:t>Friday</w:t>
      </w:r>
      <w:r w:rsidR="00347205" w:rsidRPr="009151A5">
        <w:rPr>
          <w:rFonts w:ascii="Arial" w:hAnsi="Arial" w:cs="Arial"/>
          <w:b/>
          <w:bCs/>
        </w:rPr>
        <w:t xml:space="preserve"> </w:t>
      </w:r>
      <w:r w:rsidR="00863FC4">
        <w:rPr>
          <w:rFonts w:ascii="Arial" w:hAnsi="Arial" w:cs="Arial"/>
          <w:b/>
          <w:bCs/>
        </w:rPr>
        <w:t>7</w:t>
      </w:r>
      <w:r w:rsidR="00863FC4" w:rsidRPr="00863FC4">
        <w:rPr>
          <w:rFonts w:ascii="Arial" w:hAnsi="Arial" w:cs="Arial"/>
          <w:b/>
          <w:bCs/>
          <w:vertAlign w:val="superscript"/>
        </w:rPr>
        <w:t>th</w:t>
      </w:r>
      <w:r w:rsidR="00863FC4">
        <w:rPr>
          <w:rFonts w:ascii="Arial" w:hAnsi="Arial" w:cs="Arial"/>
          <w:b/>
          <w:bCs/>
        </w:rPr>
        <w:t xml:space="preserve"> February 2025</w:t>
      </w:r>
      <w:r w:rsidRPr="009151A5">
        <w:rPr>
          <w:rFonts w:ascii="Arial" w:hAnsi="Arial" w:cs="Arial"/>
          <w:b/>
          <w:bCs/>
        </w:rPr>
        <w:t>.</w:t>
      </w:r>
      <w:r w:rsidR="0079716B" w:rsidRPr="009151A5">
        <w:rPr>
          <w:rFonts w:ascii="Arial" w:hAnsi="Arial" w:cs="Arial"/>
          <w:b/>
          <w:bCs/>
        </w:rPr>
        <w:t xml:space="preserve"> </w:t>
      </w:r>
      <w:r w:rsidRPr="009151A5">
        <w:rPr>
          <w:rFonts w:ascii="Arial" w:hAnsi="Arial" w:cs="Arial"/>
          <w:b/>
          <w:bCs/>
        </w:rPr>
        <w:t>These will then be reviewed, with selected speakers contacted in due course.</w:t>
      </w:r>
    </w:p>
    <w:p w14:paraId="72E2896A" w14:textId="77777777" w:rsidR="003E497C" w:rsidRDefault="003E497C" w:rsidP="00335BED">
      <w:pPr>
        <w:jc w:val="both"/>
        <w:rPr>
          <w:rFonts w:ascii="Arial" w:hAnsi="Arial" w:cs="Arial"/>
          <w:b/>
          <w:bCs/>
          <w:u w:val="single"/>
        </w:rPr>
      </w:pPr>
    </w:p>
    <w:p w14:paraId="2CCB9E1D" w14:textId="358F6E40" w:rsidR="009145C0" w:rsidRPr="00626867" w:rsidRDefault="00275CD4" w:rsidP="00335BED">
      <w:pPr>
        <w:jc w:val="both"/>
        <w:rPr>
          <w:rFonts w:ascii="Arial" w:hAnsi="Arial" w:cs="Arial"/>
          <w:b/>
          <w:bCs/>
          <w:color w:val="ED7D31" w:themeColor="accent2"/>
        </w:rPr>
      </w:pPr>
      <w:r w:rsidRPr="00626867">
        <w:rPr>
          <w:rFonts w:ascii="Arial" w:hAnsi="Arial" w:cs="Arial"/>
          <w:b/>
          <w:bCs/>
          <w:color w:val="ED7D31" w:themeColor="accent2"/>
        </w:rPr>
        <w:t>Abstract submission form</w:t>
      </w:r>
    </w:p>
    <w:p w14:paraId="5D8AD5F4" w14:textId="7102E392" w:rsidR="00DC60DF" w:rsidRPr="007722D9" w:rsidRDefault="002218D4" w:rsidP="00335BED">
      <w:pPr>
        <w:jc w:val="both"/>
        <w:rPr>
          <w:rFonts w:ascii="Arial" w:hAnsi="Arial" w:cs="Arial"/>
        </w:rPr>
      </w:pPr>
      <w:r w:rsidRPr="007722D9">
        <w:rPr>
          <w:rFonts w:ascii="Arial" w:hAnsi="Arial" w:cs="Arial"/>
        </w:rPr>
        <w:t>Submi</w:t>
      </w:r>
      <w:r w:rsidR="000F24B2" w:rsidRPr="007722D9">
        <w:rPr>
          <w:rFonts w:ascii="Arial" w:hAnsi="Arial" w:cs="Arial"/>
        </w:rPr>
        <w:t>t</w:t>
      </w:r>
      <w:r w:rsidRPr="007722D9">
        <w:rPr>
          <w:rFonts w:ascii="Arial" w:hAnsi="Arial" w:cs="Arial"/>
        </w:rPr>
        <w:t>ted by:</w:t>
      </w:r>
    </w:p>
    <w:p w14:paraId="4C8F90FB" w14:textId="6172161B" w:rsidR="00B87843" w:rsidRPr="007722D9" w:rsidRDefault="002218D4" w:rsidP="00335BED">
      <w:pPr>
        <w:jc w:val="both"/>
        <w:rPr>
          <w:rFonts w:ascii="Arial" w:hAnsi="Arial" w:cs="Arial"/>
        </w:rPr>
      </w:pPr>
      <w:r w:rsidRPr="007722D9">
        <w:rPr>
          <w:rFonts w:ascii="Arial" w:hAnsi="Arial" w:cs="Arial"/>
        </w:rPr>
        <w:t>Contact email</w:t>
      </w:r>
      <w:r w:rsidR="005B7AEC">
        <w:rPr>
          <w:rFonts w:ascii="Arial" w:hAnsi="Arial" w:cs="Arial"/>
        </w:rPr>
        <w:t xml:space="preserve"> address</w:t>
      </w:r>
      <w:r w:rsidRPr="007722D9">
        <w:rPr>
          <w:rFonts w:ascii="Arial" w:hAnsi="Arial" w:cs="Arial"/>
        </w:rPr>
        <w:t>:</w:t>
      </w:r>
    </w:p>
    <w:p w14:paraId="087032BB" w14:textId="11AFC414" w:rsidR="00A000A6" w:rsidRPr="007722D9" w:rsidRDefault="00B71F8F" w:rsidP="00335BED">
      <w:pPr>
        <w:jc w:val="both"/>
        <w:rPr>
          <w:rFonts w:ascii="Arial" w:hAnsi="Arial" w:cs="Arial"/>
        </w:rPr>
      </w:pPr>
      <w:r>
        <w:rPr>
          <w:rFonts w:ascii="Arial" w:hAnsi="Arial" w:cs="Arial"/>
        </w:rPr>
        <w:t>Presenter</w:t>
      </w:r>
      <w:r w:rsidR="00D3124D">
        <w:rPr>
          <w:rFonts w:ascii="Arial" w:hAnsi="Arial" w:cs="Arial"/>
        </w:rPr>
        <w:t>’s</w:t>
      </w:r>
      <w:r w:rsidR="002218D4" w:rsidRPr="007722D9">
        <w:rPr>
          <w:rFonts w:ascii="Arial" w:hAnsi="Arial" w:cs="Arial"/>
        </w:rPr>
        <w:t xml:space="preserve"> name:</w:t>
      </w:r>
    </w:p>
    <w:p w14:paraId="70C1A5BC" w14:textId="77777777" w:rsidR="00B647C2" w:rsidRPr="007722D9" w:rsidRDefault="00B647C2" w:rsidP="00335BED">
      <w:pPr>
        <w:jc w:val="both"/>
        <w:rPr>
          <w:rFonts w:ascii="Arial" w:hAnsi="Arial" w:cs="Arial"/>
        </w:rPr>
      </w:pPr>
      <w:r w:rsidRPr="007722D9">
        <w:rPr>
          <w:rFonts w:ascii="Arial" w:hAnsi="Arial" w:cs="Arial"/>
        </w:rPr>
        <w:t>Company</w:t>
      </w:r>
      <w:r>
        <w:rPr>
          <w:rFonts w:ascii="Arial" w:hAnsi="Arial" w:cs="Arial"/>
        </w:rPr>
        <w:t xml:space="preserve"> name</w:t>
      </w:r>
      <w:r w:rsidRPr="007722D9">
        <w:rPr>
          <w:rFonts w:ascii="Arial" w:hAnsi="Arial" w:cs="Arial"/>
        </w:rPr>
        <w:t>:</w:t>
      </w:r>
    </w:p>
    <w:p w14:paraId="0C3E7055" w14:textId="25B08740" w:rsidR="008A2157" w:rsidRPr="007722D9" w:rsidRDefault="00241013" w:rsidP="00335BED">
      <w:pPr>
        <w:jc w:val="both"/>
        <w:rPr>
          <w:rFonts w:ascii="Arial" w:hAnsi="Arial" w:cs="Arial"/>
        </w:rPr>
      </w:pPr>
      <w:r>
        <w:rPr>
          <w:rFonts w:ascii="Arial" w:hAnsi="Arial" w:cs="Arial"/>
        </w:rPr>
        <w:t>Presenter</w:t>
      </w:r>
      <w:r w:rsidR="00D3124D">
        <w:rPr>
          <w:rFonts w:ascii="Arial" w:hAnsi="Arial" w:cs="Arial"/>
        </w:rPr>
        <w:t>’s</w:t>
      </w:r>
      <w:r>
        <w:rPr>
          <w:rFonts w:ascii="Arial" w:hAnsi="Arial" w:cs="Arial"/>
        </w:rPr>
        <w:t xml:space="preserve"> j</w:t>
      </w:r>
      <w:r w:rsidR="002218D4" w:rsidRPr="007722D9">
        <w:rPr>
          <w:rFonts w:ascii="Arial" w:hAnsi="Arial" w:cs="Arial"/>
        </w:rPr>
        <w:t>ob title:</w:t>
      </w:r>
    </w:p>
    <w:p w14:paraId="60B0AD5C" w14:textId="13A7D404" w:rsidR="00DC60DF" w:rsidRPr="007722D9" w:rsidRDefault="00241013" w:rsidP="00335BED">
      <w:pPr>
        <w:jc w:val="both"/>
        <w:rPr>
          <w:rFonts w:ascii="Arial" w:hAnsi="Arial" w:cs="Arial"/>
        </w:rPr>
      </w:pPr>
      <w:r>
        <w:rPr>
          <w:rFonts w:ascii="Arial" w:hAnsi="Arial" w:cs="Arial"/>
        </w:rPr>
        <w:t>Presenter</w:t>
      </w:r>
      <w:r w:rsidR="00D3124D">
        <w:rPr>
          <w:rFonts w:ascii="Arial" w:hAnsi="Arial" w:cs="Arial"/>
        </w:rPr>
        <w:t>’s</w:t>
      </w:r>
      <w:r>
        <w:rPr>
          <w:rFonts w:ascii="Arial" w:hAnsi="Arial" w:cs="Arial"/>
        </w:rPr>
        <w:t xml:space="preserve"> </w:t>
      </w:r>
      <w:r w:rsidR="00717B01">
        <w:rPr>
          <w:rFonts w:ascii="Arial" w:hAnsi="Arial" w:cs="Arial"/>
        </w:rPr>
        <w:t>e</w:t>
      </w:r>
      <w:r w:rsidR="002218D4" w:rsidRPr="007722D9">
        <w:rPr>
          <w:rFonts w:ascii="Arial" w:hAnsi="Arial" w:cs="Arial"/>
        </w:rPr>
        <w:t>mail</w:t>
      </w:r>
      <w:r w:rsidR="0025327D">
        <w:rPr>
          <w:rFonts w:ascii="Arial" w:hAnsi="Arial" w:cs="Arial"/>
        </w:rPr>
        <w:t xml:space="preserve"> address</w:t>
      </w:r>
      <w:r w:rsidR="002218D4" w:rsidRPr="007722D9">
        <w:rPr>
          <w:rFonts w:ascii="Arial" w:hAnsi="Arial" w:cs="Arial"/>
        </w:rPr>
        <w:t>:</w:t>
      </w:r>
    </w:p>
    <w:p w14:paraId="5940DBA7" w14:textId="2B308342" w:rsidR="00DC60DF" w:rsidRPr="007722D9" w:rsidRDefault="002218D4" w:rsidP="00335BED">
      <w:pPr>
        <w:jc w:val="both"/>
        <w:rPr>
          <w:rFonts w:ascii="Arial" w:hAnsi="Arial" w:cs="Arial"/>
        </w:rPr>
      </w:pPr>
      <w:r w:rsidRPr="007722D9">
        <w:rPr>
          <w:rFonts w:ascii="Arial" w:hAnsi="Arial" w:cs="Arial"/>
        </w:rPr>
        <w:t xml:space="preserve">Decom Mission member: </w:t>
      </w:r>
      <w:r w:rsidR="00F80A92" w:rsidRPr="007722D9">
        <w:rPr>
          <w:rFonts w:ascii="Arial" w:hAnsi="Arial" w:cs="Arial"/>
        </w:rPr>
        <w:t>Y</w:t>
      </w:r>
      <w:r w:rsidR="00A82C30">
        <w:rPr>
          <w:rFonts w:ascii="Arial" w:hAnsi="Arial" w:cs="Arial"/>
        </w:rPr>
        <w:t>es</w:t>
      </w:r>
      <w:r w:rsidR="00F80A92" w:rsidRPr="007722D9">
        <w:rPr>
          <w:rFonts w:ascii="Arial" w:hAnsi="Arial" w:cs="Arial"/>
        </w:rPr>
        <w:t xml:space="preserve"> </w:t>
      </w:r>
      <w:r w:rsidRPr="007722D9">
        <w:rPr>
          <w:rFonts w:ascii="Arial" w:hAnsi="Arial" w:cs="Arial"/>
        </w:rPr>
        <w:t xml:space="preserve">/ </w:t>
      </w:r>
      <w:r w:rsidR="00F80A92" w:rsidRPr="007722D9">
        <w:rPr>
          <w:rFonts w:ascii="Arial" w:hAnsi="Arial" w:cs="Arial"/>
        </w:rPr>
        <w:t>N</w:t>
      </w:r>
      <w:r w:rsidR="00A82C30">
        <w:rPr>
          <w:rFonts w:ascii="Arial" w:hAnsi="Arial" w:cs="Arial"/>
        </w:rPr>
        <w:t>o</w:t>
      </w:r>
    </w:p>
    <w:p w14:paraId="646CC2FB" w14:textId="77777777" w:rsidR="00863FC4" w:rsidRDefault="00863FC4" w:rsidP="00335BED">
      <w:pPr>
        <w:jc w:val="both"/>
        <w:rPr>
          <w:rFonts w:ascii="Arial" w:hAnsi="Arial" w:cs="Arial"/>
          <w:b/>
          <w:bCs/>
        </w:rPr>
      </w:pPr>
    </w:p>
    <w:p w14:paraId="2837750E" w14:textId="67E201D2" w:rsidR="00DC60DF" w:rsidRPr="007722D9" w:rsidRDefault="002218D4" w:rsidP="00335BED">
      <w:pPr>
        <w:jc w:val="both"/>
        <w:rPr>
          <w:rFonts w:ascii="Arial" w:hAnsi="Arial" w:cs="Arial"/>
        </w:rPr>
      </w:pPr>
      <w:r w:rsidRPr="00626867">
        <w:rPr>
          <w:rFonts w:ascii="Arial" w:hAnsi="Arial" w:cs="Arial"/>
          <w:b/>
          <w:bCs/>
        </w:rPr>
        <w:t>Abstract details</w:t>
      </w:r>
      <w:r w:rsidRPr="007722D9">
        <w:rPr>
          <w:rFonts w:ascii="Arial" w:hAnsi="Arial" w:cs="Arial"/>
        </w:rPr>
        <w:t xml:space="preserve"> (</w:t>
      </w:r>
      <w:r w:rsidR="00BE2E79">
        <w:rPr>
          <w:rFonts w:ascii="Arial" w:hAnsi="Arial" w:cs="Arial"/>
        </w:rPr>
        <w:t>please select the theme and timing</w:t>
      </w:r>
      <w:r w:rsidR="00E144C1">
        <w:rPr>
          <w:rFonts w:ascii="Arial" w:hAnsi="Arial" w:cs="Arial"/>
        </w:rPr>
        <w:t xml:space="preserve"> that best describes your </w:t>
      </w:r>
      <w:r w:rsidR="0025327D">
        <w:rPr>
          <w:rFonts w:ascii="Arial" w:hAnsi="Arial" w:cs="Arial"/>
        </w:rPr>
        <w:t>abstract</w:t>
      </w:r>
      <w:r w:rsidR="008E7C2C">
        <w:rPr>
          <w:rFonts w:ascii="Arial" w:hAnsi="Arial" w:cs="Arial"/>
        </w:rPr>
        <w:t xml:space="preserve">, </w:t>
      </w:r>
      <w:r w:rsidR="0025327D">
        <w:rPr>
          <w:rFonts w:ascii="Arial" w:hAnsi="Arial" w:cs="Arial"/>
        </w:rPr>
        <w:t>as per above</w:t>
      </w:r>
      <w:r w:rsidRPr="007722D9">
        <w:rPr>
          <w:rFonts w:ascii="Arial" w:hAnsi="Arial" w:cs="Arial"/>
        </w:rPr>
        <w:t>)</w:t>
      </w:r>
      <w:r w:rsidR="002E25FB" w:rsidRPr="007722D9">
        <w:rPr>
          <w:rFonts w:ascii="Arial" w:hAnsi="Arial" w:cs="Arial"/>
        </w:rPr>
        <w:t>:</w:t>
      </w:r>
    </w:p>
    <w:p w14:paraId="19F0C6B0" w14:textId="264F2938" w:rsidR="009145C0" w:rsidRPr="007722D9" w:rsidRDefault="009145C0" w:rsidP="00335BED">
      <w:pPr>
        <w:jc w:val="both"/>
        <w:rPr>
          <w:rFonts w:ascii="Arial" w:hAnsi="Arial" w:cs="Arial"/>
        </w:rPr>
      </w:pPr>
    </w:p>
    <w:p w14:paraId="1AE506D8" w14:textId="7C6E5E31" w:rsidR="00164577" w:rsidRDefault="002218D4" w:rsidP="00335BED">
      <w:pPr>
        <w:jc w:val="both"/>
        <w:rPr>
          <w:rFonts w:ascii="Arial" w:hAnsi="Arial" w:cs="Arial"/>
          <w:b/>
          <w:bCs/>
        </w:rPr>
      </w:pPr>
      <w:r w:rsidRPr="00626867">
        <w:rPr>
          <w:rFonts w:ascii="Arial" w:hAnsi="Arial" w:cs="Arial"/>
          <w:b/>
          <w:bCs/>
        </w:rPr>
        <w:t>Abstract titl</w:t>
      </w:r>
      <w:r w:rsidR="0025327D" w:rsidRPr="00626867">
        <w:rPr>
          <w:rFonts w:ascii="Arial" w:hAnsi="Arial" w:cs="Arial"/>
          <w:b/>
          <w:bCs/>
        </w:rPr>
        <w:t xml:space="preserve">e: </w:t>
      </w:r>
    </w:p>
    <w:p w14:paraId="0A4A7CDF" w14:textId="77777777" w:rsidR="00295847" w:rsidRDefault="00295847" w:rsidP="00335BED">
      <w:pPr>
        <w:jc w:val="both"/>
        <w:rPr>
          <w:rFonts w:ascii="Arial" w:hAnsi="Arial" w:cs="Arial"/>
          <w:b/>
          <w:bCs/>
        </w:rPr>
      </w:pPr>
    </w:p>
    <w:p w14:paraId="412ED778" w14:textId="0ABC0F1B" w:rsidR="002B5298" w:rsidRPr="00626867" w:rsidRDefault="002B5298" w:rsidP="00335BED">
      <w:pPr>
        <w:jc w:val="both"/>
        <w:rPr>
          <w:rFonts w:ascii="Arial" w:hAnsi="Arial" w:cs="Arial"/>
          <w:b/>
          <w:bCs/>
        </w:rPr>
      </w:pPr>
      <w:r>
        <w:rPr>
          <w:rFonts w:ascii="Arial" w:hAnsi="Arial" w:cs="Arial"/>
          <w:b/>
          <w:bCs/>
        </w:rPr>
        <w:t>Abstract (up to 200 words)</w:t>
      </w:r>
    </w:p>
    <w:p w14:paraId="2417D45A" w14:textId="77777777" w:rsidR="002B5298" w:rsidRDefault="002B5298" w:rsidP="00335BED">
      <w:pPr>
        <w:jc w:val="both"/>
        <w:rPr>
          <w:rFonts w:ascii="Arial" w:hAnsi="Arial" w:cs="Arial"/>
        </w:rPr>
      </w:pPr>
    </w:p>
    <w:p w14:paraId="7300583E" w14:textId="77777777" w:rsidR="002B5298" w:rsidRDefault="002B5298" w:rsidP="00335BED">
      <w:pPr>
        <w:jc w:val="both"/>
        <w:rPr>
          <w:rFonts w:ascii="Arial" w:hAnsi="Arial" w:cs="Arial"/>
        </w:rPr>
      </w:pPr>
    </w:p>
    <w:p w14:paraId="28A0A58D" w14:textId="77777777" w:rsidR="00FE4C53" w:rsidRDefault="00FE4C53" w:rsidP="00335BED">
      <w:pPr>
        <w:jc w:val="both"/>
        <w:rPr>
          <w:rFonts w:ascii="Arial" w:hAnsi="Arial" w:cs="Arial"/>
        </w:rPr>
      </w:pPr>
    </w:p>
    <w:p w14:paraId="18BC401B" w14:textId="77777777" w:rsidR="00FE4C53" w:rsidRPr="007722D9" w:rsidRDefault="00FE4C53" w:rsidP="00335BED">
      <w:pPr>
        <w:jc w:val="both"/>
        <w:rPr>
          <w:rFonts w:ascii="Arial" w:hAnsi="Arial" w:cs="Arial"/>
        </w:rPr>
      </w:pPr>
    </w:p>
    <w:p w14:paraId="5CEB5FCE" w14:textId="7220C265" w:rsidR="002218D4" w:rsidRPr="007722D9" w:rsidRDefault="002218D4" w:rsidP="00335BED">
      <w:pPr>
        <w:jc w:val="both"/>
        <w:rPr>
          <w:rFonts w:ascii="Arial" w:hAnsi="Arial" w:cs="Arial"/>
        </w:rPr>
      </w:pPr>
      <w:r w:rsidRPr="007722D9">
        <w:rPr>
          <w:rFonts w:ascii="Arial" w:hAnsi="Arial" w:cs="Arial"/>
        </w:rPr>
        <w:t>Has this been presented before</w:t>
      </w:r>
      <w:r w:rsidR="00E821EC" w:rsidRPr="007722D9">
        <w:rPr>
          <w:rFonts w:ascii="Arial" w:hAnsi="Arial" w:cs="Arial"/>
        </w:rPr>
        <w:t xml:space="preserve"> and where/when?</w:t>
      </w:r>
      <w:r w:rsidR="00D0460B">
        <w:rPr>
          <w:rFonts w:ascii="Arial" w:hAnsi="Arial" w:cs="Arial"/>
        </w:rPr>
        <w:t>...............................................</w:t>
      </w:r>
    </w:p>
    <w:p w14:paraId="4345C994" w14:textId="5EC86E7A" w:rsidR="00E821EC" w:rsidRPr="007722D9" w:rsidRDefault="00E821EC" w:rsidP="00335BED">
      <w:pPr>
        <w:jc w:val="both"/>
        <w:rPr>
          <w:rFonts w:ascii="Arial" w:hAnsi="Arial" w:cs="Arial"/>
        </w:rPr>
      </w:pPr>
      <w:r w:rsidRPr="007722D9">
        <w:rPr>
          <w:rFonts w:ascii="Arial" w:hAnsi="Arial" w:cs="Arial"/>
        </w:rPr>
        <w:t xml:space="preserve">Please confirm that you have permission from </w:t>
      </w:r>
      <w:r w:rsidR="00BE2E79">
        <w:rPr>
          <w:rFonts w:ascii="Arial" w:hAnsi="Arial" w:cs="Arial"/>
        </w:rPr>
        <w:t xml:space="preserve">relevant </w:t>
      </w:r>
      <w:r w:rsidRPr="007722D9">
        <w:rPr>
          <w:rFonts w:ascii="Arial" w:hAnsi="Arial" w:cs="Arial"/>
        </w:rPr>
        <w:t>part</w:t>
      </w:r>
      <w:r w:rsidR="00BE2E79">
        <w:rPr>
          <w:rFonts w:ascii="Arial" w:hAnsi="Arial" w:cs="Arial"/>
        </w:rPr>
        <w:t xml:space="preserve">ies </w:t>
      </w:r>
      <w:r w:rsidRPr="007722D9">
        <w:rPr>
          <w:rFonts w:ascii="Arial" w:hAnsi="Arial" w:cs="Arial"/>
        </w:rPr>
        <w:t>to present this material Y/N</w:t>
      </w:r>
    </w:p>
    <w:p w14:paraId="3F1B8085" w14:textId="4A011518" w:rsidR="004E5D9F" w:rsidRPr="00FE4C53" w:rsidRDefault="004E5D9F" w:rsidP="00335BED">
      <w:pPr>
        <w:jc w:val="both"/>
        <w:rPr>
          <w:rFonts w:ascii="Arial" w:hAnsi="Arial" w:cs="Arial"/>
        </w:rPr>
      </w:pPr>
    </w:p>
    <w:p w14:paraId="298F83BE" w14:textId="79F8445C" w:rsidR="00F9641D" w:rsidRPr="00626867" w:rsidRDefault="00F9641D" w:rsidP="00335BED">
      <w:pPr>
        <w:jc w:val="both"/>
        <w:rPr>
          <w:rFonts w:ascii="Arial" w:hAnsi="Arial" w:cs="Arial"/>
          <w:b/>
          <w:bCs/>
          <w:color w:val="ED7D31" w:themeColor="accent2"/>
        </w:rPr>
      </w:pPr>
      <w:r w:rsidRPr="00626867">
        <w:rPr>
          <w:rFonts w:ascii="Arial" w:hAnsi="Arial" w:cs="Arial"/>
          <w:b/>
          <w:bCs/>
          <w:color w:val="ED7D31" w:themeColor="accent2"/>
        </w:rPr>
        <w:t xml:space="preserve">Presentation </w:t>
      </w:r>
      <w:r w:rsidR="004E5D9F" w:rsidRPr="00626867">
        <w:rPr>
          <w:rFonts w:ascii="Arial" w:hAnsi="Arial" w:cs="Arial"/>
          <w:b/>
          <w:bCs/>
          <w:color w:val="ED7D31" w:themeColor="accent2"/>
        </w:rPr>
        <w:t>m</w:t>
      </w:r>
      <w:r w:rsidRPr="00626867">
        <w:rPr>
          <w:rFonts w:ascii="Arial" w:hAnsi="Arial" w:cs="Arial"/>
          <w:b/>
          <w:bCs/>
          <w:color w:val="ED7D31" w:themeColor="accent2"/>
        </w:rPr>
        <w:t>aterial</w:t>
      </w:r>
      <w:r w:rsidR="004E5D9F" w:rsidRPr="00626867">
        <w:rPr>
          <w:rFonts w:ascii="Arial" w:hAnsi="Arial" w:cs="Arial"/>
          <w:b/>
          <w:bCs/>
          <w:color w:val="ED7D31" w:themeColor="accent2"/>
        </w:rPr>
        <w:t>, format and submission</w:t>
      </w:r>
    </w:p>
    <w:p w14:paraId="01BDDE1A" w14:textId="1D1A5BE6" w:rsidR="00F9641D" w:rsidRPr="00626867" w:rsidRDefault="00F9641D" w:rsidP="00335BED">
      <w:pPr>
        <w:pStyle w:val="ListParagraph"/>
        <w:numPr>
          <w:ilvl w:val="0"/>
          <w:numId w:val="2"/>
        </w:numPr>
        <w:jc w:val="both"/>
        <w:rPr>
          <w:rFonts w:ascii="Arial" w:hAnsi="Arial" w:cs="Arial"/>
        </w:rPr>
      </w:pPr>
      <w:r w:rsidRPr="00626867">
        <w:rPr>
          <w:rFonts w:ascii="Arial" w:hAnsi="Arial" w:cs="Arial"/>
        </w:rPr>
        <w:t xml:space="preserve">Please use good quality graphics, videos and images </w:t>
      </w:r>
      <w:r w:rsidR="00A93CB1" w:rsidRPr="00626867">
        <w:rPr>
          <w:rFonts w:ascii="Arial" w:hAnsi="Arial" w:cs="Arial"/>
        </w:rPr>
        <w:t>for your presentation</w:t>
      </w:r>
    </w:p>
    <w:p w14:paraId="6BFE4942" w14:textId="6E3BE6C0" w:rsidR="00F9641D" w:rsidRPr="00626867" w:rsidRDefault="000105D9" w:rsidP="00335BED">
      <w:pPr>
        <w:pStyle w:val="ListParagraph"/>
        <w:numPr>
          <w:ilvl w:val="0"/>
          <w:numId w:val="2"/>
        </w:numPr>
        <w:jc w:val="both"/>
        <w:rPr>
          <w:rFonts w:ascii="Arial" w:hAnsi="Arial" w:cs="Arial"/>
        </w:rPr>
      </w:pPr>
      <w:r w:rsidRPr="00626867">
        <w:rPr>
          <w:rFonts w:ascii="Arial" w:hAnsi="Arial" w:cs="Arial"/>
        </w:rPr>
        <w:t>Where appropriate, p</w:t>
      </w:r>
      <w:r w:rsidR="00F9641D" w:rsidRPr="00626867">
        <w:rPr>
          <w:rFonts w:ascii="Arial" w:hAnsi="Arial" w:cs="Arial"/>
        </w:rPr>
        <w:t>lease include good examples of case studies/practical applications</w:t>
      </w:r>
    </w:p>
    <w:p w14:paraId="154D6391" w14:textId="04D6B86B" w:rsidR="00F9641D" w:rsidRPr="00626867" w:rsidRDefault="00F9641D" w:rsidP="00335BED">
      <w:pPr>
        <w:pStyle w:val="ListParagraph"/>
        <w:numPr>
          <w:ilvl w:val="0"/>
          <w:numId w:val="2"/>
        </w:numPr>
        <w:jc w:val="both"/>
        <w:rPr>
          <w:rFonts w:ascii="Arial" w:hAnsi="Arial" w:cs="Arial"/>
        </w:rPr>
      </w:pPr>
      <w:r w:rsidRPr="00626867">
        <w:rPr>
          <w:rFonts w:ascii="Arial" w:hAnsi="Arial" w:cs="Arial"/>
        </w:rPr>
        <w:t xml:space="preserve">Presentation format should be </w:t>
      </w:r>
      <w:r w:rsidR="00D47253" w:rsidRPr="00626867">
        <w:rPr>
          <w:rFonts w:ascii="Arial" w:hAnsi="Arial" w:cs="Arial"/>
        </w:rPr>
        <w:t xml:space="preserve">widescreen </w:t>
      </w:r>
      <w:r w:rsidRPr="00626867">
        <w:rPr>
          <w:rFonts w:ascii="Arial" w:hAnsi="Arial" w:cs="Arial"/>
        </w:rPr>
        <w:t>16:9 with resolution of 1920x1080</w:t>
      </w:r>
    </w:p>
    <w:p w14:paraId="33B31730" w14:textId="73C2A2D5" w:rsidR="008C7A46" w:rsidRPr="00626867" w:rsidRDefault="00F9641D" w:rsidP="00335BED">
      <w:pPr>
        <w:jc w:val="both"/>
        <w:rPr>
          <w:rFonts w:ascii="Arial" w:hAnsi="Arial" w:cs="Arial"/>
        </w:rPr>
      </w:pPr>
      <w:r w:rsidRPr="00626867">
        <w:rPr>
          <w:rFonts w:ascii="Arial" w:hAnsi="Arial" w:cs="Arial"/>
        </w:rPr>
        <w:t xml:space="preserve">No written papers are requested for this event. Final version </w:t>
      </w:r>
      <w:r w:rsidR="008F2D64" w:rsidRPr="00626867">
        <w:rPr>
          <w:rFonts w:ascii="Arial" w:hAnsi="Arial" w:cs="Arial"/>
        </w:rPr>
        <w:t xml:space="preserve">of </w:t>
      </w:r>
      <w:r w:rsidRPr="00626867">
        <w:rPr>
          <w:rFonts w:ascii="Arial" w:hAnsi="Arial" w:cs="Arial"/>
        </w:rPr>
        <w:t>PowerPoint presentation should be emailed</w:t>
      </w:r>
      <w:r w:rsidR="00D938AC" w:rsidRPr="00626867">
        <w:rPr>
          <w:rFonts w:ascii="Arial" w:hAnsi="Arial" w:cs="Arial"/>
        </w:rPr>
        <w:t xml:space="preserve"> to </w:t>
      </w:r>
      <w:hyperlink r:id="rId13" w:history="1">
        <w:r w:rsidR="00D938AC" w:rsidRPr="00626867">
          <w:rPr>
            <w:rStyle w:val="Hyperlink"/>
            <w:rFonts w:ascii="Arial" w:hAnsi="Arial" w:cs="Arial"/>
          </w:rPr>
          <w:t>events@decommission.net</w:t>
        </w:r>
      </w:hyperlink>
      <w:r w:rsidRPr="00626867">
        <w:rPr>
          <w:rFonts w:ascii="Arial" w:hAnsi="Arial" w:cs="Arial"/>
        </w:rPr>
        <w:t xml:space="preserve"> or posted </w:t>
      </w:r>
      <w:r w:rsidR="00D548AA" w:rsidRPr="00626867">
        <w:rPr>
          <w:rFonts w:ascii="Arial" w:hAnsi="Arial" w:cs="Arial"/>
        </w:rPr>
        <w:t>via</w:t>
      </w:r>
      <w:r w:rsidRPr="00626867">
        <w:rPr>
          <w:rFonts w:ascii="Arial" w:hAnsi="Arial" w:cs="Arial"/>
        </w:rPr>
        <w:t xml:space="preserve"> </w:t>
      </w:r>
      <w:hyperlink r:id="rId14" w:history="1">
        <w:r w:rsidR="005522E7" w:rsidRPr="00626867">
          <w:rPr>
            <w:rStyle w:val="Hyperlink"/>
            <w:rFonts w:ascii="Arial" w:hAnsi="Arial" w:cs="Arial"/>
          </w:rPr>
          <w:t>www.wetransfer.com</w:t>
        </w:r>
      </w:hyperlink>
      <w:r w:rsidR="00D938AC" w:rsidRPr="00626867">
        <w:rPr>
          <w:rStyle w:val="Hyperlink"/>
          <w:rFonts w:ascii="Arial" w:hAnsi="Arial" w:cs="Arial"/>
        </w:rPr>
        <w:t>.</w:t>
      </w:r>
      <w:r w:rsidR="005522E7" w:rsidRPr="00626867">
        <w:rPr>
          <w:rFonts w:ascii="Arial" w:hAnsi="Arial" w:cs="Arial"/>
        </w:rPr>
        <w:t xml:space="preserve"> </w:t>
      </w:r>
      <w:r w:rsidRPr="00626867">
        <w:rPr>
          <w:rFonts w:ascii="Arial" w:hAnsi="Arial" w:cs="Arial"/>
        </w:rPr>
        <w:t>Please also send a PDF version of the presentation which</w:t>
      </w:r>
      <w:r w:rsidR="00F94C04" w:rsidRPr="00626867">
        <w:rPr>
          <w:rFonts w:ascii="Arial" w:hAnsi="Arial" w:cs="Arial"/>
        </w:rPr>
        <w:t>, provided we have your permission,</w:t>
      </w:r>
      <w:r w:rsidRPr="00626867">
        <w:rPr>
          <w:rFonts w:ascii="Arial" w:hAnsi="Arial" w:cs="Arial"/>
        </w:rPr>
        <w:t xml:space="preserve"> will be posted on the </w:t>
      </w:r>
      <w:r w:rsidR="005522E7" w:rsidRPr="00626867">
        <w:rPr>
          <w:rFonts w:ascii="Arial" w:hAnsi="Arial" w:cs="Arial"/>
        </w:rPr>
        <w:t xml:space="preserve">Decom Mission </w:t>
      </w:r>
      <w:r w:rsidRPr="00626867">
        <w:rPr>
          <w:rFonts w:ascii="Arial" w:hAnsi="Arial" w:cs="Arial"/>
        </w:rPr>
        <w:t>website after the event.</w:t>
      </w:r>
    </w:p>
    <w:sectPr w:rsidR="008C7A46" w:rsidRPr="00626867" w:rsidSect="007D3B14">
      <w:headerReference w:type="default" r:id="rId15"/>
      <w:footerReference w:type="default" r:id="rId16"/>
      <w:pgSz w:w="11906" w:h="16838"/>
      <w:pgMar w:top="851" w:right="1274" w:bottom="450" w:left="1440" w:header="873"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CBD75" w14:textId="77777777" w:rsidR="00DB2D17" w:rsidRDefault="00DB2D17" w:rsidP="00DB2D17">
      <w:pPr>
        <w:spacing w:after="0" w:line="240" w:lineRule="auto"/>
      </w:pPr>
      <w:r>
        <w:separator/>
      </w:r>
    </w:p>
  </w:endnote>
  <w:endnote w:type="continuationSeparator" w:id="0">
    <w:p w14:paraId="3E2EFB6F" w14:textId="77777777" w:rsidR="00DB2D17" w:rsidRDefault="00DB2D17" w:rsidP="00DB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2170" w14:textId="552EF01C" w:rsidR="00117090" w:rsidRPr="00626867" w:rsidRDefault="00117090">
    <w:pPr>
      <w:pStyle w:val="Footer"/>
      <w:rPr>
        <w:rFonts w:ascii="Arial" w:hAnsi="Arial" w:cs="Arial"/>
      </w:rPr>
    </w:pPr>
    <w:r w:rsidRPr="00626867">
      <w:rPr>
        <w:rFonts w:ascii="Arial" w:hAnsi="Arial" w:cs="Arial"/>
      </w:rPr>
      <w:t>https://decommission.net/events-training/decom-week-2025/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D9D7E" w14:textId="77777777" w:rsidR="00DB2D17" w:rsidRDefault="00DB2D17" w:rsidP="00DB2D17">
      <w:pPr>
        <w:spacing w:after="0" w:line="240" w:lineRule="auto"/>
      </w:pPr>
      <w:r>
        <w:separator/>
      </w:r>
    </w:p>
  </w:footnote>
  <w:footnote w:type="continuationSeparator" w:id="0">
    <w:p w14:paraId="7EFAD7F0" w14:textId="77777777" w:rsidR="00DB2D17" w:rsidRDefault="00DB2D17" w:rsidP="00DB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F39B" w14:textId="6C30D7F8" w:rsidR="00DB2D17" w:rsidRDefault="00DB2D17">
    <w:pPr>
      <w:pStyle w:val="Header"/>
    </w:pPr>
    <w:r>
      <w:rPr>
        <w:rFonts w:ascii="Arial" w:hAnsi="Arial" w:cs="Arial"/>
        <w:b/>
        <w:bCs/>
        <w:noProof/>
        <w:sz w:val="32"/>
        <w:szCs w:val="32"/>
      </w:rPr>
      <w:drawing>
        <wp:anchor distT="0" distB="0" distL="114300" distR="114300" simplePos="0" relativeHeight="251659264" behindDoc="0" locked="0" layoutInCell="1" allowOverlap="1" wp14:anchorId="28DA42AD" wp14:editId="4C40FD67">
          <wp:simplePos x="0" y="0"/>
          <wp:positionH relativeFrom="column">
            <wp:posOffset>3676650</wp:posOffset>
          </wp:positionH>
          <wp:positionV relativeFrom="paragraph">
            <wp:posOffset>-106680</wp:posOffset>
          </wp:positionV>
          <wp:extent cx="2514605" cy="838202"/>
          <wp:effectExtent l="0" t="0" r="0" b="0"/>
          <wp:wrapTopAndBottom/>
          <wp:docPr id="1489474943" name="Picture 2" descr="A black background with blue letters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24872" name="Picture 2" descr="A black background with blue letters and orang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5" cy="8382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328"/>
    <w:multiLevelType w:val="hybridMultilevel"/>
    <w:tmpl w:val="C8CA8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8322F5"/>
    <w:multiLevelType w:val="hybridMultilevel"/>
    <w:tmpl w:val="704EF214"/>
    <w:lvl w:ilvl="0" w:tplc="B41881CA">
      <w:start w:val="1"/>
      <w:numFmt w:val="bullet"/>
      <w:lvlText w:val="•"/>
      <w:lvlJc w:val="left"/>
      <w:pPr>
        <w:tabs>
          <w:tab w:val="num" w:pos="720"/>
        </w:tabs>
        <w:ind w:left="720" w:hanging="360"/>
      </w:pPr>
      <w:rPr>
        <w:rFonts w:ascii="Arial" w:hAnsi="Arial" w:cs="Times New Roman" w:hint="default"/>
      </w:rPr>
    </w:lvl>
    <w:lvl w:ilvl="1" w:tplc="B3B4928E">
      <w:start w:val="1"/>
      <w:numFmt w:val="bullet"/>
      <w:lvlText w:val="•"/>
      <w:lvlJc w:val="left"/>
      <w:pPr>
        <w:tabs>
          <w:tab w:val="num" w:pos="1440"/>
        </w:tabs>
        <w:ind w:left="1440" w:hanging="360"/>
      </w:pPr>
      <w:rPr>
        <w:rFonts w:ascii="Arial" w:hAnsi="Arial" w:cs="Times New Roman" w:hint="default"/>
      </w:rPr>
    </w:lvl>
    <w:lvl w:ilvl="2" w:tplc="F692FA96">
      <w:start w:val="1"/>
      <w:numFmt w:val="bullet"/>
      <w:lvlText w:val="•"/>
      <w:lvlJc w:val="left"/>
      <w:pPr>
        <w:tabs>
          <w:tab w:val="num" w:pos="2160"/>
        </w:tabs>
        <w:ind w:left="2160" w:hanging="360"/>
      </w:pPr>
      <w:rPr>
        <w:rFonts w:ascii="Arial" w:hAnsi="Arial" w:cs="Times New Roman" w:hint="default"/>
      </w:rPr>
    </w:lvl>
    <w:lvl w:ilvl="3" w:tplc="16FC481E">
      <w:start w:val="1"/>
      <w:numFmt w:val="bullet"/>
      <w:lvlText w:val="•"/>
      <w:lvlJc w:val="left"/>
      <w:pPr>
        <w:tabs>
          <w:tab w:val="num" w:pos="2880"/>
        </w:tabs>
        <w:ind w:left="2880" w:hanging="360"/>
      </w:pPr>
      <w:rPr>
        <w:rFonts w:ascii="Arial" w:hAnsi="Arial" w:cs="Times New Roman" w:hint="default"/>
      </w:rPr>
    </w:lvl>
    <w:lvl w:ilvl="4" w:tplc="3CBA3E50">
      <w:start w:val="1"/>
      <w:numFmt w:val="bullet"/>
      <w:lvlText w:val="•"/>
      <w:lvlJc w:val="left"/>
      <w:pPr>
        <w:tabs>
          <w:tab w:val="num" w:pos="3600"/>
        </w:tabs>
        <w:ind w:left="3600" w:hanging="360"/>
      </w:pPr>
      <w:rPr>
        <w:rFonts w:ascii="Arial" w:hAnsi="Arial" w:cs="Times New Roman" w:hint="default"/>
      </w:rPr>
    </w:lvl>
    <w:lvl w:ilvl="5" w:tplc="086EAB7E">
      <w:start w:val="1"/>
      <w:numFmt w:val="bullet"/>
      <w:lvlText w:val="•"/>
      <w:lvlJc w:val="left"/>
      <w:pPr>
        <w:tabs>
          <w:tab w:val="num" w:pos="4320"/>
        </w:tabs>
        <w:ind w:left="4320" w:hanging="360"/>
      </w:pPr>
      <w:rPr>
        <w:rFonts w:ascii="Arial" w:hAnsi="Arial" w:cs="Times New Roman" w:hint="default"/>
      </w:rPr>
    </w:lvl>
    <w:lvl w:ilvl="6" w:tplc="8EE2F21E">
      <w:start w:val="1"/>
      <w:numFmt w:val="bullet"/>
      <w:lvlText w:val="•"/>
      <w:lvlJc w:val="left"/>
      <w:pPr>
        <w:tabs>
          <w:tab w:val="num" w:pos="5040"/>
        </w:tabs>
        <w:ind w:left="5040" w:hanging="360"/>
      </w:pPr>
      <w:rPr>
        <w:rFonts w:ascii="Arial" w:hAnsi="Arial" w:cs="Times New Roman" w:hint="default"/>
      </w:rPr>
    </w:lvl>
    <w:lvl w:ilvl="7" w:tplc="016A9162">
      <w:start w:val="1"/>
      <w:numFmt w:val="bullet"/>
      <w:lvlText w:val="•"/>
      <w:lvlJc w:val="left"/>
      <w:pPr>
        <w:tabs>
          <w:tab w:val="num" w:pos="5760"/>
        </w:tabs>
        <w:ind w:left="5760" w:hanging="360"/>
      </w:pPr>
      <w:rPr>
        <w:rFonts w:ascii="Arial" w:hAnsi="Arial" w:cs="Times New Roman" w:hint="default"/>
      </w:rPr>
    </w:lvl>
    <w:lvl w:ilvl="8" w:tplc="DF6A8CA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F0C4223"/>
    <w:multiLevelType w:val="hybridMultilevel"/>
    <w:tmpl w:val="DFE889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162327"/>
    <w:multiLevelType w:val="hybridMultilevel"/>
    <w:tmpl w:val="B860E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8707867"/>
    <w:multiLevelType w:val="hybridMultilevel"/>
    <w:tmpl w:val="AAC2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D634A"/>
    <w:multiLevelType w:val="hybridMultilevel"/>
    <w:tmpl w:val="94CCBB3A"/>
    <w:lvl w:ilvl="0" w:tplc="08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47B06221"/>
    <w:multiLevelType w:val="hybridMultilevel"/>
    <w:tmpl w:val="C4AE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CA2"/>
    <w:multiLevelType w:val="hybridMultilevel"/>
    <w:tmpl w:val="C222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587983">
    <w:abstractNumId w:val="6"/>
  </w:num>
  <w:num w:numId="2" w16cid:durableId="1329483515">
    <w:abstractNumId w:val="7"/>
  </w:num>
  <w:num w:numId="3" w16cid:durableId="1792628420">
    <w:abstractNumId w:val="2"/>
  </w:num>
  <w:num w:numId="4" w16cid:durableId="962807808">
    <w:abstractNumId w:val="0"/>
  </w:num>
  <w:num w:numId="5" w16cid:durableId="1054740991">
    <w:abstractNumId w:val="1"/>
  </w:num>
  <w:num w:numId="6" w16cid:durableId="388185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749535">
    <w:abstractNumId w:val="3"/>
  </w:num>
  <w:num w:numId="8" w16cid:durableId="1407875151">
    <w:abstractNumId w:val="5"/>
  </w:num>
  <w:num w:numId="9" w16cid:durableId="499589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1D"/>
    <w:rsid w:val="000105D9"/>
    <w:rsid w:val="00017757"/>
    <w:rsid w:val="000208EF"/>
    <w:rsid w:val="00023387"/>
    <w:rsid w:val="00064B08"/>
    <w:rsid w:val="00093434"/>
    <w:rsid w:val="0009648B"/>
    <w:rsid w:val="000F24B2"/>
    <w:rsid w:val="000F4EE7"/>
    <w:rsid w:val="00117090"/>
    <w:rsid w:val="00135B70"/>
    <w:rsid w:val="00141F62"/>
    <w:rsid w:val="001445A2"/>
    <w:rsid w:val="00164577"/>
    <w:rsid w:val="001661BE"/>
    <w:rsid w:val="00182B5E"/>
    <w:rsid w:val="0019324F"/>
    <w:rsid w:val="001934C2"/>
    <w:rsid w:val="00195D7F"/>
    <w:rsid w:val="001A4372"/>
    <w:rsid w:val="001C167B"/>
    <w:rsid w:val="001D2346"/>
    <w:rsid w:val="001E3006"/>
    <w:rsid w:val="002218D4"/>
    <w:rsid w:val="00241013"/>
    <w:rsid w:val="0025327D"/>
    <w:rsid w:val="0025662D"/>
    <w:rsid w:val="0026245B"/>
    <w:rsid w:val="00274ED4"/>
    <w:rsid w:val="00275CD4"/>
    <w:rsid w:val="00295847"/>
    <w:rsid w:val="002B0E29"/>
    <w:rsid w:val="002B5298"/>
    <w:rsid w:val="002C3770"/>
    <w:rsid w:val="002C7D02"/>
    <w:rsid w:val="002E25FB"/>
    <w:rsid w:val="002E5EE1"/>
    <w:rsid w:val="002F3463"/>
    <w:rsid w:val="002F5190"/>
    <w:rsid w:val="003014F6"/>
    <w:rsid w:val="00321064"/>
    <w:rsid w:val="00335BED"/>
    <w:rsid w:val="00336471"/>
    <w:rsid w:val="00346D6C"/>
    <w:rsid w:val="00347205"/>
    <w:rsid w:val="003525F6"/>
    <w:rsid w:val="00364203"/>
    <w:rsid w:val="00365485"/>
    <w:rsid w:val="0037513A"/>
    <w:rsid w:val="00392049"/>
    <w:rsid w:val="003A4E65"/>
    <w:rsid w:val="003D152E"/>
    <w:rsid w:val="003E497C"/>
    <w:rsid w:val="004013C9"/>
    <w:rsid w:val="00472190"/>
    <w:rsid w:val="004903EE"/>
    <w:rsid w:val="00497906"/>
    <w:rsid w:val="004E5D9F"/>
    <w:rsid w:val="004E5E16"/>
    <w:rsid w:val="005151C7"/>
    <w:rsid w:val="00534362"/>
    <w:rsid w:val="00544668"/>
    <w:rsid w:val="005522E7"/>
    <w:rsid w:val="00562096"/>
    <w:rsid w:val="0058729C"/>
    <w:rsid w:val="005A23CF"/>
    <w:rsid w:val="005B7AEC"/>
    <w:rsid w:val="00604990"/>
    <w:rsid w:val="006057CD"/>
    <w:rsid w:val="006147AD"/>
    <w:rsid w:val="00621575"/>
    <w:rsid w:val="006232F6"/>
    <w:rsid w:val="00626867"/>
    <w:rsid w:val="00627D4C"/>
    <w:rsid w:val="00632B6D"/>
    <w:rsid w:val="0064031D"/>
    <w:rsid w:val="0064118D"/>
    <w:rsid w:val="006514FC"/>
    <w:rsid w:val="006B46C5"/>
    <w:rsid w:val="006C3FF3"/>
    <w:rsid w:val="006E1BEE"/>
    <w:rsid w:val="00702C71"/>
    <w:rsid w:val="00705A3B"/>
    <w:rsid w:val="00717B01"/>
    <w:rsid w:val="0072274E"/>
    <w:rsid w:val="007378E7"/>
    <w:rsid w:val="00766917"/>
    <w:rsid w:val="007722D9"/>
    <w:rsid w:val="007811AF"/>
    <w:rsid w:val="0079716B"/>
    <w:rsid w:val="007A321D"/>
    <w:rsid w:val="007B48F6"/>
    <w:rsid w:val="007D3088"/>
    <w:rsid w:val="007D3B14"/>
    <w:rsid w:val="007E28FF"/>
    <w:rsid w:val="008234FD"/>
    <w:rsid w:val="00846CE6"/>
    <w:rsid w:val="00863FC4"/>
    <w:rsid w:val="00876A14"/>
    <w:rsid w:val="00884EDB"/>
    <w:rsid w:val="008A1984"/>
    <w:rsid w:val="008A2157"/>
    <w:rsid w:val="008B1922"/>
    <w:rsid w:val="008B75DD"/>
    <w:rsid w:val="008C7A46"/>
    <w:rsid w:val="008E5119"/>
    <w:rsid w:val="008E7C2C"/>
    <w:rsid w:val="008F2D64"/>
    <w:rsid w:val="00906BFD"/>
    <w:rsid w:val="00912317"/>
    <w:rsid w:val="009145C0"/>
    <w:rsid w:val="009151A5"/>
    <w:rsid w:val="00924710"/>
    <w:rsid w:val="00931C33"/>
    <w:rsid w:val="00950ABF"/>
    <w:rsid w:val="009A18C4"/>
    <w:rsid w:val="009B5D2E"/>
    <w:rsid w:val="009B751D"/>
    <w:rsid w:val="009C6E70"/>
    <w:rsid w:val="009D0083"/>
    <w:rsid w:val="009D4F85"/>
    <w:rsid w:val="00A000A6"/>
    <w:rsid w:val="00A17ABA"/>
    <w:rsid w:val="00A21ED3"/>
    <w:rsid w:val="00A42283"/>
    <w:rsid w:val="00A73DD6"/>
    <w:rsid w:val="00A82C30"/>
    <w:rsid w:val="00A93CB1"/>
    <w:rsid w:val="00AB1462"/>
    <w:rsid w:val="00AD0AD1"/>
    <w:rsid w:val="00AD29B9"/>
    <w:rsid w:val="00AE29EC"/>
    <w:rsid w:val="00B247A0"/>
    <w:rsid w:val="00B3129B"/>
    <w:rsid w:val="00B452C9"/>
    <w:rsid w:val="00B60485"/>
    <w:rsid w:val="00B647C2"/>
    <w:rsid w:val="00B71F8F"/>
    <w:rsid w:val="00B86A93"/>
    <w:rsid w:val="00B87843"/>
    <w:rsid w:val="00BC6FF5"/>
    <w:rsid w:val="00BE2E79"/>
    <w:rsid w:val="00BE3A40"/>
    <w:rsid w:val="00BF357B"/>
    <w:rsid w:val="00C611A4"/>
    <w:rsid w:val="00C7468B"/>
    <w:rsid w:val="00C84F32"/>
    <w:rsid w:val="00C91291"/>
    <w:rsid w:val="00C92608"/>
    <w:rsid w:val="00C930E4"/>
    <w:rsid w:val="00CA4705"/>
    <w:rsid w:val="00CC174B"/>
    <w:rsid w:val="00CC1CE6"/>
    <w:rsid w:val="00CE08E4"/>
    <w:rsid w:val="00D0460B"/>
    <w:rsid w:val="00D128B9"/>
    <w:rsid w:val="00D14D72"/>
    <w:rsid w:val="00D15F24"/>
    <w:rsid w:val="00D3124D"/>
    <w:rsid w:val="00D46A3C"/>
    <w:rsid w:val="00D47253"/>
    <w:rsid w:val="00D548AA"/>
    <w:rsid w:val="00D6224F"/>
    <w:rsid w:val="00D85811"/>
    <w:rsid w:val="00D938AC"/>
    <w:rsid w:val="00D96DC0"/>
    <w:rsid w:val="00DA475D"/>
    <w:rsid w:val="00DA53C0"/>
    <w:rsid w:val="00DB2D17"/>
    <w:rsid w:val="00DB4F02"/>
    <w:rsid w:val="00DC2D95"/>
    <w:rsid w:val="00DC4A36"/>
    <w:rsid w:val="00DC60DF"/>
    <w:rsid w:val="00E017EE"/>
    <w:rsid w:val="00E01F39"/>
    <w:rsid w:val="00E144C1"/>
    <w:rsid w:val="00E163BD"/>
    <w:rsid w:val="00E6104D"/>
    <w:rsid w:val="00E821EC"/>
    <w:rsid w:val="00EA1D2B"/>
    <w:rsid w:val="00EE1C9E"/>
    <w:rsid w:val="00EF4812"/>
    <w:rsid w:val="00F115C0"/>
    <w:rsid w:val="00F73470"/>
    <w:rsid w:val="00F80A92"/>
    <w:rsid w:val="00F94C04"/>
    <w:rsid w:val="00F9641D"/>
    <w:rsid w:val="00FA4824"/>
    <w:rsid w:val="00FB7AE4"/>
    <w:rsid w:val="00FD4D9C"/>
    <w:rsid w:val="00FD6366"/>
    <w:rsid w:val="00FE0A8E"/>
    <w:rsid w:val="00FE4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DA31C"/>
  <w15:chartTrackingRefBased/>
  <w15:docId w15:val="{4CA6FBE3-5F0F-4631-A60B-535CC72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4F6"/>
    <w:pPr>
      <w:ind w:left="720"/>
      <w:contextualSpacing/>
    </w:pPr>
  </w:style>
  <w:style w:type="character" w:styleId="Hyperlink">
    <w:name w:val="Hyperlink"/>
    <w:basedOn w:val="DefaultParagraphFont"/>
    <w:uiPriority w:val="99"/>
    <w:unhideWhenUsed/>
    <w:rsid w:val="00F115C0"/>
    <w:rPr>
      <w:color w:val="0563C1" w:themeColor="hyperlink"/>
      <w:u w:val="single"/>
    </w:rPr>
  </w:style>
  <w:style w:type="character" w:styleId="UnresolvedMention">
    <w:name w:val="Unresolved Mention"/>
    <w:basedOn w:val="DefaultParagraphFont"/>
    <w:uiPriority w:val="99"/>
    <w:semiHidden/>
    <w:unhideWhenUsed/>
    <w:rsid w:val="00F115C0"/>
    <w:rPr>
      <w:color w:val="605E5C"/>
      <w:shd w:val="clear" w:color="auto" w:fill="E1DFDD"/>
    </w:rPr>
  </w:style>
  <w:style w:type="character" w:styleId="CommentReference">
    <w:name w:val="annotation reference"/>
    <w:basedOn w:val="DefaultParagraphFont"/>
    <w:uiPriority w:val="99"/>
    <w:semiHidden/>
    <w:unhideWhenUsed/>
    <w:rsid w:val="0079716B"/>
    <w:rPr>
      <w:sz w:val="16"/>
      <w:szCs w:val="16"/>
    </w:rPr>
  </w:style>
  <w:style w:type="paragraph" w:styleId="CommentText">
    <w:name w:val="annotation text"/>
    <w:basedOn w:val="Normal"/>
    <w:link w:val="CommentTextChar"/>
    <w:uiPriority w:val="99"/>
    <w:unhideWhenUsed/>
    <w:rsid w:val="0079716B"/>
    <w:pPr>
      <w:spacing w:line="240" w:lineRule="auto"/>
    </w:pPr>
    <w:rPr>
      <w:sz w:val="20"/>
      <w:szCs w:val="20"/>
    </w:rPr>
  </w:style>
  <w:style w:type="character" w:customStyle="1" w:styleId="CommentTextChar">
    <w:name w:val="Comment Text Char"/>
    <w:basedOn w:val="DefaultParagraphFont"/>
    <w:link w:val="CommentText"/>
    <w:uiPriority w:val="99"/>
    <w:rsid w:val="0079716B"/>
    <w:rPr>
      <w:sz w:val="20"/>
      <w:szCs w:val="20"/>
    </w:rPr>
  </w:style>
  <w:style w:type="paragraph" w:styleId="CommentSubject">
    <w:name w:val="annotation subject"/>
    <w:basedOn w:val="CommentText"/>
    <w:next w:val="CommentText"/>
    <w:link w:val="CommentSubjectChar"/>
    <w:uiPriority w:val="99"/>
    <w:semiHidden/>
    <w:unhideWhenUsed/>
    <w:rsid w:val="0079716B"/>
    <w:rPr>
      <w:b/>
      <w:bCs/>
    </w:rPr>
  </w:style>
  <w:style w:type="character" w:customStyle="1" w:styleId="CommentSubjectChar">
    <w:name w:val="Comment Subject Char"/>
    <w:basedOn w:val="CommentTextChar"/>
    <w:link w:val="CommentSubject"/>
    <w:uiPriority w:val="99"/>
    <w:semiHidden/>
    <w:rsid w:val="0079716B"/>
    <w:rPr>
      <w:b/>
      <w:bCs/>
      <w:sz w:val="20"/>
      <w:szCs w:val="20"/>
    </w:rPr>
  </w:style>
  <w:style w:type="paragraph" w:styleId="Revision">
    <w:name w:val="Revision"/>
    <w:hidden/>
    <w:uiPriority w:val="99"/>
    <w:semiHidden/>
    <w:rsid w:val="0026245B"/>
    <w:pPr>
      <w:spacing w:after="0" w:line="240" w:lineRule="auto"/>
    </w:pPr>
  </w:style>
  <w:style w:type="paragraph" w:styleId="Header">
    <w:name w:val="header"/>
    <w:basedOn w:val="Normal"/>
    <w:link w:val="HeaderChar"/>
    <w:uiPriority w:val="99"/>
    <w:unhideWhenUsed/>
    <w:rsid w:val="00DB2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D17"/>
  </w:style>
  <w:style w:type="paragraph" w:styleId="Footer">
    <w:name w:val="footer"/>
    <w:basedOn w:val="Normal"/>
    <w:link w:val="FooterChar"/>
    <w:uiPriority w:val="99"/>
    <w:unhideWhenUsed/>
    <w:rsid w:val="00DB2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6834">
      <w:bodyDiv w:val="1"/>
      <w:marLeft w:val="0"/>
      <w:marRight w:val="0"/>
      <w:marTop w:val="0"/>
      <w:marBottom w:val="0"/>
      <w:divBdr>
        <w:top w:val="none" w:sz="0" w:space="0" w:color="auto"/>
        <w:left w:val="none" w:sz="0" w:space="0" w:color="auto"/>
        <w:bottom w:val="none" w:sz="0" w:space="0" w:color="auto"/>
        <w:right w:val="none" w:sz="0" w:space="0" w:color="auto"/>
      </w:divBdr>
    </w:div>
    <w:div w:id="663895509">
      <w:bodyDiv w:val="1"/>
      <w:marLeft w:val="0"/>
      <w:marRight w:val="0"/>
      <w:marTop w:val="0"/>
      <w:marBottom w:val="0"/>
      <w:divBdr>
        <w:top w:val="none" w:sz="0" w:space="0" w:color="auto"/>
        <w:left w:val="none" w:sz="0" w:space="0" w:color="auto"/>
        <w:bottom w:val="none" w:sz="0" w:space="0" w:color="auto"/>
        <w:right w:val="none" w:sz="0" w:space="0" w:color="auto"/>
      </w:divBdr>
    </w:div>
    <w:div w:id="1072461773">
      <w:bodyDiv w:val="1"/>
      <w:marLeft w:val="0"/>
      <w:marRight w:val="0"/>
      <w:marTop w:val="0"/>
      <w:marBottom w:val="0"/>
      <w:divBdr>
        <w:top w:val="none" w:sz="0" w:space="0" w:color="auto"/>
        <w:left w:val="none" w:sz="0" w:space="0" w:color="auto"/>
        <w:bottom w:val="none" w:sz="0" w:space="0" w:color="auto"/>
        <w:right w:val="none" w:sz="0" w:space="0" w:color="auto"/>
      </w:divBdr>
    </w:div>
    <w:div w:id="1223443063">
      <w:bodyDiv w:val="1"/>
      <w:marLeft w:val="0"/>
      <w:marRight w:val="0"/>
      <w:marTop w:val="0"/>
      <w:marBottom w:val="0"/>
      <w:divBdr>
        <w:top w:val="none" w:sz="0" w:space="0" w:color="auto"/>
        <w:left w:val="none" w:sz="0" w:space="0" w:color="auto"/>
        <w:bottom w:val="none" w:sz="0" w:space="0" w:color="auto"/>
        <w:right w:val="none" w:sz="0" w:space="0" w:color="auto"/>
      </w:divBdr>
    </w:div>
    <w:div w:id="19767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decommission.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decommission.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1c1960-c5f8-4f74-9f66-197c869e01f0">
      <Terms xmlns="http://schemas.microsoft.com/office/infopath/2007/PartnerControls"/>
    </lcf76f155ced4ddcb4097134ff3c332f>
    <TaxCatchAll xmlns="d34f0344-22ad-47e3-99d0-cacaa25f20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758B9CF9492944BEA7C641A300A882" ma:contentTypeVersion="13" ma:contentTypeDescription="Create a new document." ma:contentTypeScope="" ma:versionID="5df4b2ae54e7bccb2ca7dc5725fc1f16">
  <xsd:schema xmlns:xsd="http://www.w3.org/2001/XMLSchema" xmlns:xs="http://www.w3.org/2001/XMLSchema" xmlns:p="http://schemas.microsoft.com/office/2006/metadata/properties" xmlns:ns2="ab1c1960-c5f8-4f74-9f66-197c869e01f0" xmlns:ns3="d34f0344-22ad-47e3-99d0-cacaa25f20be" targetNamespace="http://schemas.microsoft.com/office/2006/metadata/properties" ma:root="true" ma:fieldsID="16f963fe55d5e18cea7845dccffa3a20" ns2:_="" ns3:_="">
    <xsd:import namespace="ab1c1960-c5f8-4f74-9f66-197c869e01f0"/>
    <xsd:import namespace="d34f0344-22ad-47e3-99d0-cacaa25f2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c1960-c5f8-4f74-9f66-197c869e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b3e1a7-ade6-4d2a-bf68-03c378ca1d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f0344-22ad-47e3-99d0-cacaa25f20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8d55-db4d-4df3-a80b-3d1fb8a1d376}" ma:internalName="TaxCatchAll" ma:showField="CatchAllData" ma:web="d34f0344-22ad-47e3-99d0-cacaa25f2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27ADC-B46F-4DB6-8B5A-08C96F7A1FF8}">
  <ds:schemaRefs>
    <ds:schemaRef ds:uri="http://schemas.microsoft.com/sharepoint/v3/contenttype/forms"/>
  </ds:schemaRefs>
</ds:datastoreItem>
</file>

<file path=customXml/itemProps2.xml><?xml version="1.0" encoding="utf-8"?>
<ds:datastoreItem xmlns:ds="http://schemas.openxmlformats.org/officeDocument/2006/customXml" ds:itemID="{2C6A8F09-7681-43FF-94CA-4B9E1F31ED6F}">
  <ds:schemaRefs>
    <ds:schemaRef ds:uri="http://schemas.microsoft.com/office/2006/metadata/properties"/>
    <ds:schemaRef ds:uri="http://schemas.microsoft.com/office/infopath/2007/PartnerControls"/>
    <ds:schemaRef ds:uri="ab1c1960-c5f8-4f74-9f66-197c869e01f0"/>
    <ds:schemaRef ds:uri="d34f0344-22ad-47e3-99d0-cacaa25f20be"/>
  </ds:schemaRefs>
</ds:datastoreItem>
</file>

<file path=customXml/itemProps3.xml><?xml version="1.0" encoding="utf-8"?>
<ds:datastoreItem xmlns:ds="http://schemas.openxmlformats.org/officeDocument/2006/customXml" ds:itemID="{24EA3CEE-14FB-4486-82F4-BCD5A6B938A0}">
  <ds:schemaRefs>
    <ds:schemaRef ds:uri="http://schemas.openxmlformats.org/officeDocument/2006/bibliography"/>
  </ds:schemaRefs>
</ds:datastoreItem>
</file>

<file path=customXml/itemProps4.xml><?xml version="1.0" encoding="utf-8"?>
<ds:datastoreItem xmlns:ds="http://schemas.openxmlformats.org/officeDocument/2006/customXml" ds:itemID="{1FE4ABE7-2A57-419C-8D18-F5EDE4C82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c1960-c5f8-4f74-9f66-197c869e01f0"/>
    <ds:schemaRef ds:uri="d34f0344-22ad-47e3-99d0-cacaa25f2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Smith</dc:creator>
  <cp:keywords/>
  <dc:description/>
  <cp:lastModifiedBy>Dana Smith</cp:lastModifiedBy>
  <cp:revision>10</cp:revision>
  <dcterms:created xsi:type="dcterms:W3CDTF">2025-01-16T11:15:00Z</dcterms:created>
  <dcterms:modified xsi:type="dcterms:W3CDTF">2025-01-16T13:55:00Z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0x0101005D35D52029FC1F40BBD27F0452CE488D</vt:lpwstr>
  </property>
  <property fmtid="{D5CDD505-2E9C-101B-9397-08002B2CF9AE}" pid="3" name="MediaServiceImageTags">
    <vt:lpwstr/>
  </property>
</Properties>
</file>