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057D" w14:textId="0E130DB7" w:rsidR="0088571C" w:rsidRPr="0088571C" w:rsidRDefault="00AE5A8C" w:rsidP="0088571C">
      <w:pPr>
        <w:jc w:val="center"/>
        <w:rPr>
          <w:b/>
          <w:color w:val="00B0F0"/>
          <w:sz w:val="18"/>
          <w:szCs w:val="18"/>
        </w:rPr>
      </w:pPr>
      <w:r>
        <w:rPr>
          <w:b/>
          <w:color w:val="00B0F0"/>
          <w:sz w:val="40"/>
          <w:szCs w:val="40"/>
        </w:rPr>
        <w:t xml:space="preserve">Jacket Removal, Thailand </w:t>
      </w:r>
    </w:p>
    <w:tbl>
      <w:tblPr>
        <w:tblStyle w:val="TableGrid"/>
        <w:tblW w:w="991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67"/>
        <w:gridCol w:w="1418"/>
        <w:gridCol w:w="992"/>
        <w:gridCol w:w="1701"/>
        <w:gridCol w:w="992"/>
        <w:gridCol w:w="704"/>
        <w:gridCol w:w="1984"/>
      </w:tblGrid>
      <w:tr w:rsidR="002F733C" w:rsidRPr="00623A55" w14:paraId="45604EDE" w14:textId="77777777" w:rsidTr="0034463A">
        <w:tc>
          <w:tcPr>
            <w:tcW w:w="1560" w:type="dxa"/>
          </w:tcPr>
          <w:p w14:paraId="7BE99C5A" w14:textId="1D7CB481" w:rsidR="009829A3" w:rsidRPr="005F3AC0" w:rsidRDefault="00161A34" w:rsidP="00623A55">
            <w:pPr>
              <w:rPr>
                <w:b/>
                <w:sz w:val="20"/>
                <w:szCs w:val="20"/>
              </w:rPr>
            </w:pPr>
            <w:sdt>
              <w:sdtPr>
                <w:rPr>
                  <w:b/>
                  <w:sz w:val="20"/>
                  <w:szCs w:val="20"/>
                </w:rPr>
                <w:id w:val="-1105575113"/>
                <w14:checkbox>
                  <w14:checked w14:val="0"/>
                  <w14:checkedState w14:val="2612" w14:font="MS Gothic"/>
                  <w14:uncheckedState w14:val="2610" w14:font="MS Gothic"/>
                </w14:checkbox>
              </w:sdtPr>
              <w:sdtEndPr/>
              <w:sdtContent>
                <w:r w:rsidR="0034463A" w:rsidRPr="005F3AC0">
                  <w:rPr>
                    <w:rFonts w:ascii="Segoe UI Symbol" w:eastAsia="MS Gothic" w:hAnsi="Segoe UI Symbol" w:cs="Segoe UI Symbol"/>
                    <w:b/>
                    <w:sz w:val="20"/>
                    <w:szCs w:val="20"/>
                  </w:rPr>
                  <w:t>☐</w:t>
                </w:r>
              </w:sdtContent>
            </w:sdt>
            <w:r w:rsidR="009829A3" w:rsidRPr="005F3AC0">
              <w:rPr>
                <w:b/>
                <w:sz w:val="20"/>
                <w:szCs w:val="20"/>
              </w:rPr>
              <w:t xml:space="preserve"> Project</w:t>
            </w:r>
          </w:p>
        </w:tc>
        <w:tc>
          <w:tcPr>
            <w:tcW w:w="1985" w:type="dxa"/>
            <w:gridSpan w:val="2"/>
          </w:tcPr>
          <w:p w14:paraId="4C202B85" w14:textId="438E6BC0" w:rsidR="009829A3" w:rsidRPr="005F3AC0" w:rsidRDefault="00161A34">
            <w:pPr>
              <w:rPr>
                <w:b/>
                <w:sz w:val="20"/>
                <w:szCs w:val="20"/>
              </w:rPr>
            </w:pPr>
            <w:sdt>
              <w:sdtPr>
                <w:rPr>
                  <w:b/>
                  <w:sz w:val="20"/>
                  <w:szCs w:val="20"/>
                </w:rPr>
                <w:id w:val="81659478"/>
                <w14:checkbox>
                  <w14:checked w14:val="0"/>
                  <w14:checkedState w14:val="2612" w14:font="MS Gothic"/>
                  <w14:uncheckedState w14:val="2610" w14:font="MS Gothic"/>
                </w14:checkbox>
              </w:sdtPr>
              <w:sdtEndPr/>
              <w:sdtContent>
                <w:r w:rsidR="0034463A" w:rsidRPr="005F3AC0">
                  <w:rPr>
                    <w:rFonts w:ascii="Segoe UI Symbol" w:eastAsia="MS Gothic" w:hAnsi="Segoe UI Symbol" w:cs="Segoe UI Symbol"/>
                    <w:b/>
                    <w:sz w:val="20"/>
                    <w:szCs w:val="20"/>
                  </w:rPr>
                  <w:t>☐</w:t>
                </w:r>
              </w:sdtContent>
            </w:sdt>
            <w:r w:rsidR="009829A3" w:rsidRPr="005F3AC0">
              <w:rPr>
                <w:b/>
                <w:sz w:val="20"/>
                <w:szCs w:val="20"/>
              </w:rPr>
              <w:t xml:space="preserve"> Technology</w:t>
            </w:r>
          </w:p>
        </w:tc>
        <w:tc>
          <w:tcPr>
            <w:tcW w:w="2693" w:type="dxa"/>
            <w:gridSpan w:val="2"/>
          </w:tcPr>
          <w:p w14:paraId="0EC556C5" w14:textId="6F22F445" w:rsidR="009829A3" w:rsidRPr="005F3AC0" w:rsidRDefault="00161A34">
            <w:pPr>
              <w:rPr>
                <w:b/>
                <w:sz w:val="20"/>
                <w:szCs w:val="20"/>
              </w:rPr>
            </w:pPr>
            <w:sdt>
              <w:sdtPr>
                <w:rPr>
                  <w:b/>
                  <w:sz w:val="20"/>
                  <w:szCs w:val="20"/>
                </w:rPr>
                <w:id w:val="-1555240234"/>
                <w14:checkbox>
                  <w14:checked w14:val="0"/>
                  <w14:checkedState w14:val="2612" w14:font="MS Gothic"/>
                  <w14:uncheckedState w14:val="2610" w14:font="MS Gothic"/>
                </w14:checkbox>
              </w:sdtPr>
              <w:sdtEndPr/>
              <w:sdtContent>
                <w:r w:rsidR="0034463A" w:rsidRPr="005F3AC0">
                  <w:rPr>
                    <w:rFonts w:ascii="Segoe UI Symbol" w:eastAsia="MS Gothic" w:hAnsi="Segoe UI Symbol" w:cs="Segoe UI Symbol"/>
                    <w:b/>
                    <w:sz w:val="20"/>
                    <w:szCs w:val="20"/>
                  </w:rPr>
                  <w:t>☐</w:t>
                </w:r>
              </w:sdtContent>
            </w:sdt>
            <w:r w:rsidR="009829A3" w:rsidRPr="005F3AC0">
              <w:rPr>
                <w:b/>
                <w:sz w:val="20"/>
                <w:szCs w:val="20"/>
              </w:rPr>
              <w:t xml:space="preserve"> Waste Management</w:t>
            </w:r>
          </w:p>
          <w:p w14:paraId="09326CDB" w14:textId="1472AF8C" w:rsidR="009829A3" w:rsidRPr="005F3AC0" w:rsidRDefault="009829A3">
            <w:pPr>
              <w:rPr>
                <w:b/>
                <w:sz w:val="20"/>
                <w:szCs w:val="20"/>
              </w:rPr>
            </w:pPr>
          </w:p>
        </w:tc>
        <w:tc>
          <w:tcPr>
            <w:tcW w:w="1696" w:type="dxa"/>
            <w:gridSpan w:val="2"/>
          </w:tcPr>
          <w:p w14:paraId="6E86B15F" w14:textId="618DDB24" w:rsidR="009829A3" w:rsidRPr="005F3AC0" w:rsidRDefault="00161A34">
            <w:pPr>
              <w:rPr>
                <w:b/>
                <w:sz w:val="20"/>
                <w:szCs w:val="20"/>
              </w:rPr>
            </w:pPr>
            <w:sdt>
              <w:sdtPr>
                <w:rPr>
                  <w:b/>
                  <w:sz w:val="20"/>
                  <w:szCs w:val="20"/>
                </w:rPr>
                <w:id w:val="-748427429"/>
                <w14:checkbox>
                  <w14:checked w14:val="0"/>
                  <w14:checkedState w14:val="2612" w14:font="MS Gothic"/>
                  <w14:uncheckedState w14:val="2610" w14:font="MS Gothic"/>
                </w14:checkbox>
              </w:sdtPr>
              <w:sdtEndPr/>
              <w:sdtContent>
                <w:r w:rsidR="0034463A" w:rsidRPr="005F3AC0">
                  <w:rPr>
                    <w:rFonts w:ascii="Segoe UI Symbol" w:eastAsia="MS Gothic" w:hAnsi="Segoe UI Symbol" w:cs="Segoe UI Symbol"/>
                    <w:b/>
                    <w:sz w:val="20"/>
                    <w:szCs w:val="20"/>
                  </w:rPr>
                  <w:t>☐</w:t>
                </w:r>
              </w:sdtContent>
            </w:sdt>
            <w:r w:rsidR="009829A3" w:rsidRPr="005F3AC0">
              <w:rPr>
                <w:b/>
                <w:sz w:val="20"/>
                <w:szCs w:val="20"/>
              </w:rPr>
              <w:t xml:space="preserve"> Operator </w:t>
            </w:r>
          </w:p>
        </w:tc>
        <w:tc>
          <w:tcPr>
            <w:tcW w:w="1984" w:type="dxa"/>
          </w:tcPr>
          <w:p w14:paraId="759B4BA1" w14:textId="0FB538CA" w:rsidR="009829A3" w:rsidRPr="005F3AC0" w:rsidRDefault="00161A34">
            <w:pPr>
              <w:rPr>
                <w:b/>
                <w:sz w:val="20"/>
                <w:szCs w:val="20"/>
              </w:rPr>
            </w:pPr>
            <w:sdt>
              <w:sdtPr>
                <w:rPr>
                  <w:b/>
                  <w:sz w:val="20"/>
                  <w:szCs w:val="20"/>
                </w:rPr>
                <w:id w:val="-912156108"/>
                <w14:checkbox>
                  <w14:checked w14:val="0"/>
                  <w14:checkedState w14:val="2612" w14:font="MS Gothic"/>
                  <w14:uncheckedState w14:val="2610" w14:font="MS Gothic"/>
                </w14:checkbox>
              </w:sdtPr>
              <w:sdtEndPr/>
              <w:sdtContent>
                <w:r w:rsidR="0034463A" w:rsidRPr="005F3AC0">
                  <w:rPr>
                    <w:rFonts w:ascii="Segoe UI Symbol" w:eastAsia="MS Gothic" w:hAnsi="Segoe UI Symbol" w:cs="Segoe UI Symbol"/>
                    <w:b/>
                    <w:sz w:val="20"/>
                    <w:szCs w:val="20"/>
                  </w:rPr>
                  <w:t>☐</w:t>
                </w:r>
              </w:sdtContent>
            </w:sdt>
            <w:r w:rsidR="009829A3" w:rsidRPr="005F3AC0">
              <w:rPr>
                <w:b/>
                <w:sz w:val="20"/>
                <w:szCs w:val="20"/>
              </w:rPr>
              <w:t xml:space="preserve"> Cleaning </w:t>
            </w:r>
          </w:p>
          <w:p w14:paraId="404F82F9" w14:textId="18F7CDB5" w:rsidR="009829A3" w:rsidRPr="005F3AC0" w:rsidRDefault="009829A3">
            <w:pPr>
              <w:rPr>
                <w:b/>
                <w:sz w:val="20"/>
                <w:szCs w:val="20"/>
              </w:rPr>
            </w:pPr>
          </w:p>
        </w:tc>
      </w:tr>
      <w:tr w:rsidR="009829A3" w:rsidRPr="00623A55" w14:paraId="6E07E77D" w14:textId="77777777" w:rsidTr="0034463A">
        <w:tc>
          <w:tcPr>
            <w:tcW w:w="2127" w:type="dxa"/>
            <w:gridSpan w:val="2"/>
          </w:tcPr>
          <w:p w14:paraId="15234D81" w14:textId="77777777" w:rsidR="009829A3" w:rsidRPr="005F3AC0" w:rsidRDefault="00161A34">
            <w:pPr>
              <w:rPr>
                <w:b/>
                <w:sz w:val="20"/>
                <w:szCs w:val="20"/>
              </w:rPr>
            </w:pPr>
            <w:sdt>
              <w:sdtPr>
                <w:rPr>
                  <w:b/>
                  <w:sz w:val="20"/>
                  <w:szCs w:val="20"/>
                </w:rPr>
                <w:id w:val="1022441135"/>
                <w14:checkbox>
                  <w14:checked w14:val="0"/>
                  <w14:checkedState w14:val="2612" w14:font="MS Gothic"/>
                  <w14:uncheckedState w14:val="2610" w14:font="MS Gothic"/>
                </w14:checkbox>
              </w:sdtPr>
              <w:sdtEndPr/>
              <w:sdtContent>
                <w:r w:rsidR="00755F09" w:rsidRPr="005F3AC0">
                  <w:rPr>
                    <w:rFonts w:ascii="Segoe UI Symbol" w:eastAsia="MS Gothic" w:hAnsi="Segoe UI Symbol" w:cs="Segoe UI Symbol"/>
                    <w:b/>
                    <w:sz w:val="20"/>
                    <w:szCs w:val="20"/>
                  </w:rPr>
                  <w:t>☐</w:t>
                </w:r>
              </w:sdtContent>
            </w:sdt>
            <w:r w:rsidR="009829A3" w:rsidRPr="005F3AC0">
              <w:rPr>
                <w:b/>
                <w:sz w:val="20"/>
                <w:szCs w:val="20"/>
              </w:rPr>
              <w:t xml:space="preserve"> Well P&amp;A </w:t>
            </w:r>
          </w:p>
          <w:p w14:paraId="15CCF371" w14:textId="0660FA4D" w:rsidR="00D32C5F" w:rsidRPr="005F3AC0" w:rsidRDefault="00D32C5F">
            <w:pPr>
              <w:rPr>
                <w:b/>
                <w:sz w:val="20"/>
                <w:szCs w:val="20"/>
              </w:rPr>
            </w:pPr>
          </w:p>
        </w:tc>
        <w:tc>
          <w:tcPr>
            <w:tcW w:w="2410" w:type="dxa"/>
            <w:gridSpan w:val="2"/>
          </w:tcPr>
          <w:p w14:paraId="03BFB964" w14:textId="23C56A15" w:rsidR="009829A3" w:rsidRPr="005F3AC0" w:rsidRDefault="00161A34">
            <w:pPr>
              <w:rPr>
                <w:b/>
                <w:sz w:val="20"/>
                <w:szCs w:val="20"/>
              </w:rPr>
            </w:pPr>
            <w:sdt>
              <w:sdtPr>
                <w:rPr>
                  <w:b/>
                  <w:sz w:val="20"/>
                  <w:szCs w:val="20"/>
                </w:rPr>
                <w:id w:val="1397396678"/>
                <w14:checkbox>
                  <w14:checked w14:val="0"/>
                  <w14:checkedState w14:val="2612" w14:font="MS Gothic"/>
                  <w14:uncheckedState w14:val="2610" w14:font="MS Gothic"/>
                </w14:checkbox>
              </w:sdtPr>
              <w:sdtEndPr/>
              <w:sdtContent>
                <w:r w:rsidR="0034463A" w:rsidRPr="005F3AC0">
                  <w:rPr>
                    <w:rFonts w:ascii="Segoe UI Symbol" w:eastAsia="MS Gothic" w:hAnsi="Segoe UI Symbol" w:cs="Segoe UI Symbol"/>
                    <w:b/>
                    <w:sz w:val="20"/>
                    <w:szCs w:val="20"/>
                  </w:rPr>
                  <w:t>☐</w:t>
                </w:r>
              </w:sdtContent>
            </w:sdt>
            <w:r w:rsidR="009829A3" w:rsidRPr="005F3AC0">
              <w:rPr>
                <w:b/>
                <w:sz w:val="20"/>
                <w:szCs w:val="20"/>
              </w:rPr>
              <w:t xml:space="preserve"> Disconnection</w:t>
            </w:r>
          </w:p>
        </w:tc>
        <w:tc>
          <w:tcPr>
            <w:tcW w:w="2693" w:type="dxa"/>
            <w:gridSpan w:val="2"/>
          </w:tcPr>
          <w:p w14:paraId="1AB6D803" w14:textId="193363E1" w:rsidR="009829A3" w:rsidRPr="005F3AC0" w:rsidRDefault="00161A34">
            <w:pPr>
              <w:rPr>
                <w:b/>
                <w:sz w:val="20"/>
                <w:szCs w:val="20"/>
              </w:rPr>
            </w:pPr>
            <w:sdt>
              <w:sdtPr>
                <w:rPr>
                  <w:b/>
                  <w:sz w:val="20"/>
                  <w:szCs w:val="20"/>
                </w:rPr>
                <w:id w:val="-161780319"/>
                <w14:checkbox>
                  <w14:checked w14:val="1"/>
                  <w14:checkedState w14:val="2612" w14:font="MS Gothic"/>
                  <w14:uncheckedState w14:val="2610" w14:font="MS Gothic"/>
                </w14:checkbox>
              </w:sdtPr>
              <w:sdtEndPr/>
              <w:sdtContent>
                <w:r w:rsidR="004E3D1F">
                  <w:rPr>
                    <w:rFonts w:ascii="MS Gothic" w:eastAsia="MS Gothic" w:hAnsi="MS Gothic" w:hint="eastAsia"/>
                    <w:b/>
                    <w:sz w:val="20"/>
                    <w:szCs w:val="20"/>
                  </w:rPr>
                  <w:t>☒</w:t>
                </w:r>
              </w:sdtContent>
            </w:sdt>
            <w:r w:rsidR="009829A3" w:rsidRPr="005F3AC0">
              <w:rPr>
                <w:b/>
                <w:sz w:val="20"/>
                <w:szCs w:val="20"/>
              </w:rPr>
              <w:t xml:space="preserve"> Removal &amp; </w:t>
            </w:r>
            <w:r w:rsidR="00623A55" w:rsidRPr="005F3AC0">
              <w:rPr>
                <w:b/>
                <w:sz w:val="20"/>
                <w:szCs w:val="20"/>
              </w:rPr>
              <w:t>L</w:t>
            </w:r>
            <w:r w:rsidR="009829A3" w:rsidRPr="005F3AC0">
              <w:rPr>
                <w:b/>
                <w:sz w:val="20"/>
                <w:szCs w:val="20"/>
              </w:rPr>
              <w:t xml:space="preserve">ifting </w:t>
            </w:r>
          </w:p>
        </w:tc>
        <w:tc>
          <w:tcPr>
            <w:tcW w:w="2688" w:type="dxa"/>
            <w:gridSpan w:val="2"/>
          </w:tcPr>
          <w:p w14:paraId="006D8D62" w14:textId="6CF28D10" w:rsidR="009829A3" w:rsidRPr="005F3AC0" w:rsidRDefault="00161A34">
            <w:pPr>
              <w:rPr>
                <w:b/>
                <w:sz w:val="20"/>
                <w:szCs w:val="20"/>
              </w:rPr>
            </w:pPr>
            <w:sdt>
              <w:sdtPr>
                <w:rPr>
                  <w:b/>
                  <w:sz w:val="20"/>
                  <w:szCs w:val="20"/>
                </w:rPr>
                <w:id w:val="311913782"/>
                <w14:checkbox>
                  <w14:checked w14:val="0"/>
                  <w14:checkedState w14:val="2612" w14:font="MS Gothic"/>
                  <w14:uncheckedState w14:val="2610" w14:font="MS Gothic"/>
                </w14:checkbox>
              </w:sdtPr>
              <w:sdtEndPr/>
              <w:sdtContent>
                <w:r w:rsidR="008C6084">
                  <w:rPr>
                    <w:rFonts w:ascii="MS Gothic" w:eastAsia="MS Gothic" w:hAnsi="MS Gothic" w:hint="eastAsia"/>
                    <w:b/>
                    <w:sz w:val="20"/>
                    <w:szCs w:val="20"/>
                  </w:rPr>
                  <w:t>☐</w:t>
                </w:r>
              </w:sdtContent>
            </w:sdt>
            <w:r w:rsidR="009829A3" w:rsidRPr="005F3AC0">
              <w:rPr>
                <w:b/>
                <w:sz w:val="20"/>
                <w:szCs w:val="20"/>
              </w:rPr>
              <w:t xml:space="preserve"> </w:t>
            </w:r>
            <w:r w:rsidR="001B5BE6">
              <w:rPr>
                <w:b/>
                <w:sz w:val="20"/>
                <w:szCs w:val="20"/>
              </w:rPr>
              <w:t>Other (Please Specify)</w:t>
            </w:r>
          </w:p>
          <w:p w14:paraId="76A9E01E" w14:textId="3842DA4B" w:rsidR="009829A3" w:rsidRPr="005F3AC0" w:rsidRDefault="009829A3">
            <w:pPr>
              <w:rPr>
                <w:b/>
                <w:sz w:val="20"/>
                <w:szCs w:val="20"/>
              </w:rPr>
            </w:pPr>
          </w:p>
        </w:tc>
      </w:tr>
    </w:tbl>
    <w:tbl>
      <w:tblPr>
        <w:tblStyle w:val="TableGrid"/>
        <w:tblpPr w:leftFromText="180" w:rightFromText="180" w:vertAnchor="page" w:horzAnchor="margin" w:tblpX="-431" w:tblpY="5536"/>
        <w:tblW w:w="5500" w:type="pct"/>
        <w:tblLook w:val="04A0" w:firstRow="1" w:lastRow="0" w:firstColumn="1" w:lastColumn="0" w:noHBand="0" w:noVBand="1"/>
      </w:tblPr>
      <w:tblGrid>
        <w:gridCol w:w="2123"/>
        <w:gridCol w:w="3961"/>
        <w:gridCol w:w="3834"/>
      </w:tblGrid>
      <w:tr w:rsidR="00E26DD7" w:rsidRPr="00623A55" w14:paraId="7EC14690" w14:textId="77777777" w:rsidTr="00B11953">
        <w:trPr>
          <w:trHeight w:val="278"/>
        </w:trPr>
        <w:tc>
          <w:tcPr>
            <w:tcW w:w="5000" w:type="pct"/>
            <w:gridSpan w:val="3"/>
            <w:shd w:val="clear" w:color="auto" w:fill="662260"/>
          </w:tcPr>
          <w:p w14:paraId="287A815B" w14:textId="77777777" w:rsidR="00E26DD7" w:rsidRPr="005F3AC0" w:rsidRDefault="00E26DD7" w:rsidP="00B11953">
            <w:pPr>
              <w:rPr>
                <w:b/>
                <w:color w:val="FFFFFF" w:themeColor="background1"/>
                <w:sz w:val="20"/>
                <w:szCs w:val="20"/>
              </w:rPr>
            </w:pPr>
            <w:r w:rsidRPr="005F3AC0">
              <w:rPr>
                <w:b/>
                <w:color w:val="FFFFFF" w:themeColor="background1"/>
                <w:sz w:val="20"/>
                <w:szCs w:val="20"/>
              </w:rPr>
              <w:t>Company Details</w:t>
            </w:r>
          </w:p>
        </w:tc>
      </w:tr>
      <w:tr w:rsidR="00E26DD7" w:rsidRPr="00623A55" w14:paraId="79013044" w14:textId="77777777" w:rsidTr="00B11953">
        <w:trPr>
          <w:trHeight w:val="419"/>
        </w:trPr>
        <w:tc>
          <w:tcPr>
            <w:tcW w:w="1070" w:type="pct"/>
          </w:tcPr>
          <w:p w14:paraId="57BCFF97" w14:textId="77777777" w:rsidR="00E26DD7" w:rsidRPr="00623A55" w:rsidRDefault="00E26DD7" w:rsidP="00B11953">
            <w:pPr>
              <w:rPr>
                <w:sz w:val="20"/>
                <w:szCs w:val="20"/>
              </w:rPr>
            </w:pPr>
            <w:r w:rsidRPr="00623A55">
              <w:rPr>
                <w:sz w:val="20"/>
                <w:szCs w:val="20"/>
              </w:rPr>
              <w:t xml:space="preserve">Company Name </w:t>
            </w:r>
          </w:p>
        </w:tc>
        <w:tc>
          <w:tcPr>
            <w:tcW w:w="1997" w:type="pct"/>
            <w:vAlign w:val="center"/>
          </w:tcPr>
          <w:p w14:paraId="08A638AC" w14:textId="192D657E" w:rsidR="00E26DD7" w:rsidRPr="00623A55" w:rsidRDefault="004E3D1F" w:rsidP="00B11953">
            <w:pPr>
              <w:ind w:left="720" w:hanging="720"/>
              <w:rPr>
                <w:sz w:val="20"/>
                <w:szCs w:val="20"/>
              </w:rPr>
            </w:pPr>
            <w:r>
              <w:rPr>
                <w:sz w:val="20"/>
                <w:szCs w:val="20"/>
              </w:rPr>
              <w:t>James Fisher Offshore</w:t>
            </w:r>
          </w:p>
        </w:tc>
        <w:tc>
          <w:tcPr>
            <w:tcW w:w="1933" w:type="pct"/>
            <w:vMerge w:val="restart"/>
          </w:tcPr>
          <w:p w14:paraId="6BD8D8C7" w14:textId="4A3E7259" w:rsidR="00E26DD7" w:rsidRPr="00623A55" w:rsidRDefault="00E26DD7" w:rsidP="00B11953">
            <w:pPr>
              <w:ind w:left="720" w:hanging="720"/>
              <w:jc w:val="center"/>
              <w:rPr>
                <w:sz w:val="20"/>
                <w:szCs w:val="20"/>
              </w:rPr>
            </w:pPr>
          </w:p>
        </w:tc>
      </w:tr>
      <w:tr w:rsidR="00E26DD7" w:rsidRPr="00623A55" w14:paraId="45B2DEF9" w14:textId="77777777" w:rsidTr="00B11953">
        <w:trPr>
          <w:trHeight w:val="217"/>
        </w:trPr>
        <w:tc>
          <w:tcPr>
            <w:tcW w:w="1070" w:type="pct"/>
          </w:tcPr>
          <w:p w14:paraId="3DA5A926" w14:textId="77777777" w:rsidR="00E26DD7" w:rsidRPr="00623A55" w:rsidRDefault="00E26DD7" w:rsidP="00B11953">
            <w:pPr>
              <w:rPr>
                <w:sz w:val="20"/>
                <w:szCs w:val="20"/>
              </w:rPr>
            </w:pPr>
            <w:r w:rsidRPr="00623A55">
              <w:rPr>
                <w:sz w:val="20"/>
                <w:szCs w:val="20"/>
              </w:rPr>
              <w:t>Email</w:t>
            </w:r>
          </w:p>
          <w:p w14:paraId="1756E7CE" w14:textId="77777777" w:rsidR="00E26DD7" w:rsidRPr="00623A55" w:rsidRDefault="00E26DD7" w:rsidP="00B11953">
            <w:pPr>
              <w:rPr>
                <w:sz w:val="20"/>
                <w:szCs w:val="20"/>
              </w:rPr>
            </w:pPr>
          </w:p>
        </w:tc>
        <w:tc>
          <w:tcPr>
            <w:tcW w:w="1997" w:type="pct"/>
            <w:vAlign w:val="center"/>
          </w:tcPr>
          <w:p w14:paraId="7C078ADF" w14:textId="2759D62C" w:rsidR="00E26DD7" w:rsidRPr="00623A55" w:rsidRDefault="00161A34" w:rsidP="00B11953">
            <w:pPr>
              <w:rPr>
                <w:sz w:val="20"/>
                <w:szCs w:val="20"/>
              </w:rPr>
            </w:pPr>
            <w:hyperlink r:id="rId7" w:history="1">
              <w:r w:rsidR="004E3D1F" w:rsidRPr="00781CA0">
                <w:rPr>
                  <w:rStyle w:val="Hyperlink"/>
                  <w:sz w:val="20"/>
                  <w:szCs w:val="20"/>
                </w:rPr>
                <w:t>info@fisheroffshore.com</w:t>
              </w:r>
            </w:hyperlink>
          </w:p>
        </w:tc>
        <w:tc>
          <w:tcPr>
            <w:tcW w:w="1933" w:type="pct"/>
            <w:vMerge/>
          </w:tcPr>
          <w:p w14:paraId="48678054" w14:textId="77777777" w:rsidR="00E26DD7" w:rsidRPr="00623A55" w:rsidRDefault="00E26DD7" w:rsidP="00B11953">
            <w:pPr>
              <w:rPr>
                <w:sz w:val="20"/>
                <w:szCs w:val="20"/>
              </w:rPr>
            </w:pPr>
          </w:p>
        </w:tc>
      </w:tr>
      <w:tr w:rsidR="00E26DD7" w:rsidRPr="00623A55" w14:paraId="16FB14DA" w14:textId="77777777" w:rsidTr="00B11953">
        <w:trPr>
          <w:trHeight w:val="217"/>
        </w:trPr>
        <w:tc>
          <w:tcPr>
            <w:tcW w:w="1070" w:type="pct"/>
          </w:tcPr>
          <w:p w14:paraId="7A20C2BB" w14:textId="77777777" w:rsidR="00E26DD7" w:rsidRPr="00623A55" w:rsidRDefault="00E26DD7" w:rsidP="00B11953">
            <w:pPr>
              <w:rPr>
                <w:sz w:val="20"/>
                <w:szCs w:val="20"/>
              </w:rPr>
            </w:pPr>
            <w:r w:rsidRPr="00623A55">
              <w:rPr>
                <w:sz w:val="20"/>
                <w:szCs w:val="20"/>
              </w:rPr>
              <w:t>Tel no.</w:t>
            </w:r>
          </w:p>
          <w:p w14:paraId="55DB7CB0" w14:textId="77777777" w:rsidR="00E26DD7" w:rsidRPr="00623A55" w:rsidRDefault="00E26DD7" w:rsidP="00B11953">
            <w:pPr>
              <w:rPr>
                <w:sz w:val="20"/>
                <w:szCs w:val="20"/>
              </w:rPr>
            </w:pPr>
          </w:p>
        </w:tc>
        <w:tc>
          <w:tcPr>
            <w:tcW w:w="1997" w:type="pct"/>
            <w:vAlign w:val="center"/>
          </w:tcPr>
          <w:p w14:paraId="604B5669" w14:textId="0984EDC1" w:rsidR="00E26DD7" w:rsidRPr="00623A55" w:rsidRDefault="004E3D1F" w:rsidP="00B11953">
            <w:pPr>
              <w:rPr>
                <w:sz w:val="20"/>
                <w:szCs w:val="20"/>
              </w:rPr>
            </w:pPr>
            <w:r>
              <w:rPr>
                <w:sz w:val="20"/>
                <w:szCs w:val="20"/>
              </w:rPr>
              <w:t>+44 1651 873932</w:t>
            </w:r>
          </w:p>
        </w:tc>
        <w:tc>
          <w:tcPr>
            <w:tcW w:w="1933" w:type="pct"/>
            <w:vMerge/>
          </w:tcPr>
          <w:p w14:paraId="453ED841" w14:textId="77777777" w:rsidR="00E26DD7" w:rsidRPr="00623A55" w:rsidRDefault="00E26DD7" w:rsidP="00B11953">
            <w:pPr>
              <w:rPr>
                <w:sz w:val="20"/>
                <w:szCs w:val="20"/>
              </w:rPr>
            </w:pPr>
          </w:p>
        </w:tc>
      </w:tr>
    </w:tbl>
    <w:p w14:paraId="643015AB" w14:textId="77777777" w:rsidR="00D32C5F" w:rsidRPr="005F3AC0" w:rsidRDefault="00D32C5F">
      <w:pPr>
        <w:pStyle w:val="NoSpacing"/>
        <w:rPr>
          <w:sz w:val="20"/>
          <w:szCs w:val="20"/>
        </w:rPr>
      </w:pPr>
    </w:p>
    <w:tbl>
      <w:tblPr>
        <w:tblStyle w:val="TableGrid"/>
        <w:tblpPr w:leftFromText="180" w:rightFromText="180" w:vertAnchor="page" w:horzAnchor="margin" w:tblpXSpec="center" w:tblpY="7741"/>
        <w:tblW w:w="9928" w:type="dxa"/>
        <w:tblLook w:val="04A0" w:firstRow="1" w:lastRow="0" w:firstColumn="1" w:lastColumn="0" w:noHBand="0" w:noVBand="1"/>
      </w:tblPr>
      <w:tblGrid>
        <w:gridCol w:w="9928"/>
      </w:tblGrid>
      <w:tr w:rsidR="00D32C5F" w:rsidRPr="00623A55" w14:paraId="05F53331" w14:textId="77777777" w:rsidTr="00D32C5F">
        <w:tc>
          <w:tcPr>
            <w:tcW w:w="9928" w:type="dxa"/>
            <w:shd w:val="clear" w:color="auto" w:fill="662260"/>
          </w:tcPr>
          <w:p w14:paraId="7D24C061" w14:textId="153CA11C" w:rsidR="00D32C5F" w:rsidRPr="005F3AC0" w:rsidRDefault="00D32C5F" w:rsidP="00BE2F2C">
            <w:pPr>
              <w:rPr>
                <w:b/>
                <w:sz w:val="20"/>
                <w:szCs w:val="20"/>
              </w:rPr>
            </w:pPr>
            <w:r w:rsidRPr="005F3AC0">
              <w:rPr>
                <w:b/>
                <w:color w:val="FFFFFF" w:themeColor="background1"/>
                <w:sz w:val="20"/>
                <w:szCs w:val="20"/>
              </w:rPr>
              <w:t>Overview</w:t>
            </w:r>
            <w:r w:rsidR="005F3AC0">
              <w:rPr>
                <w:b/>
                <w:color w:val="FFFFFF" w:themeColor="background1"/>
                <w:sz w:val="20"/>
                <w:szCs w:val="20"/>
              </w:rPr>
              <w:t xml:space="preserve"> (max 250 words)</w:t>
            </w:r>
          </w:p>
        </w:tc>
      </w:tr>
      <w:tr w:rsidR="00D32C5F" w:rsidRPr="00623A55" w14:paraId="25C97F61" w14:textId="77777777" w:rsidTr="00D32C5F">
        <w:tc>
          <w:tcPr>
            <w:tcW w:w="9928" w:type="dxa"/>
          </w:tcPr>
          <w:p w14:paraId="2AB98C49" w14:textId="77777777" w:rsidR="00D32C5F" w:rsidRPr="005F3AC0" w:rsidRDefault="00D32C5F" w:rsidP="009B4F7D">
            <w:pPr>
              <w:jc w:val="both"/>
              <w:rPr>
                <w:sz w:val="20"/>
                <w:szCs w:val="20"/>
              </w:rPr>
            </w:pPr>
          </w:p>
          <w:p w14:paraId="4B63ACA2" w14:textId="77777777" w:rsidR="004E3D1F" w:rsidRDefault="004E3D1F" w:rsidP="0035505E">
            <w:r>
              <w:t xml:space="preserve">James Fisher Offshore (JFO) are proud to have supported Sapura Energy and Chevron Thailand Exploration and Production Ltd with the first ‘Rigs to Reef’ project in Thailand - an initiative where idle platforms are relocated to create artificial reefs, serving as a valuable habitat for marine life. </w:t>
            </w:r>
          </w:p>
          <w:p w14:paraId="159F241B" w14:textId="77777777" w:rsidR="004E3D1F" w:rsidRDefault="004E3D1F" w:rsidP="0035505E"/>
          <w:p w14:paraId="7DA39E7D" w14:textId="49E29C9E" w:rsidR="00D32C5F" w:rsidRDefault="004E3D1F" w:rsidP="0035505E">
            <w:pPr>
              <w:rPr>
                <w:sz w:val="20"/>
                <w:szCs w:val="20"/>
              </w:rPr>
            </w:pPr>
            <w:r>
              <w:t>Operating in the Gulf of Thailand, JFO successfully cut and removed 7 platforms and associated pipelines, completing the project 3 weeks ahead of schedule.</w:t>
            </w:r>
          </w:p>
          <w:p w14:paraId="7F286EBE" w14:textId="77777777" w:rsidR="0035505E" w:rsidRDefault="0035505E" w:rsidP="0035505E">
            <w:pPr>
              <w:rPr>
                <w:sz w:val="20"/>
                <w:szCs w:val="20"/>
              </w:rPr>
            </w:pPr>
          </w:p>
          <w:p w14:paraId="0F800AD3" w14:textId="77777777" w:rsidR="004E3D1F" w:rsidRDefault="004E3D1F" w:rsidP="0035505E">
            <w:r>
              <w:t xml:space="preserve">JFO scope of supply included the following equipment, ensuring the most effective, as well as the safest means to cut and remove the various materials: </w:t>
            </w:r>
          </w:p>
          <w:p w14:paraId="37EB0008" w14:textId="77777777" w:rsidR="004E3D1F" w:rsidRDefault="004E3D1F" w:rsidP="0035505E">
            <w:r>
              <w:t xml:space="preserve">• Internal abrasive water jet cutting system (AWJC) </w:t>
            </w:r>
          </w:p>
          <w:p w14:paraId="698C4435" w14:textId="77777777" w:rsidR="004E3D1F" w:rsidRDefault="004E3D1F" w:rsidP="0035505E">
            <w:r>
              <w:t xml:space="preserve">• Internal soil plug removal tool </w:t>
            </w:r>
          </w:p>
          <w:p w14:paraId="32549F09" w14:textId="77777777" w:rsidR="004E3D1F" w:rsidRDefault="004E3D1F" w:rsidP="0035505E">
            <w:r>
              <w:t xml:space="preserve">• Diamond wire saw </w:t>
            </w:r>
          </w:p>
          <w:p w14:paraId="29FE3D94" w14:textId="77777777" w:rsidR="004E3D1F" w:rsidRDefault="004E3D1F" w:rsidP="0035505E">
            <w:r>
              <w:t xml:space="preserve">• Chop saw </w:t>
            </w:r>
          </w:p>
          <w:p w14:paraId="5FDD9AC0" w14:textId="7365F894" w:rsidR="0035505E" w:rsidRDefault="004E3D1F" w:rsidP="0035505E">
            <w:pPr>
              <w:rPr>
                <w:sz w:val="20"/>
                <w:szCs w:val="20"/>
              </w:rPr>
            </w:pPr>
            <w:r>
              <w:t>• Twin recovery grabs</w:t>
            </w:r>
          </w:p>
          <w:p w14:paraId="569824D2" w14:textId="47AB8F12" w:rsidR="0035505E" w:rsidRPr="005F3AC0" w:rsidRDefault="0035505E" w:rsidP="0035505E">
            <w:pPr>
              <w:rPr>
                <w:sz w:val="20"/>
                <w:szCs w:val="20"/>
              </w:rPr>
            </w:pPr>
          </w:p>
        </w:tc>
      </w:tr>
    </w:tbl>
    <w:p w14:paraId="0929AA5E" w14:textId="1E7996F1" w:rsidR="0088571C" w:rsidRPr="005F3AC0" w:rsidRDefault="0088571C" w:rsidP="009B4F7D">
      <w:pPr>
        <w:pStyle w:val="NoSpacing"/>
        <w:jc w:val="both"/>
        <w:rPr>
          <w:sz w:val="20"/>
          <w:szCs w:val="20"/>
        </w:rPr>
      </w:pPr>
    </w:p>
    <w:p w14:paraId="39A05745" w14:textId="159BB50B" w:rsidR="0088571C" w:rsidRPr="005F3AC0" w:rsidRDefault="0088571C" w:rsidP="009B4F7D">
      <w:pPr>
        <w:pStyle w:val="NoSpacing"/>
        <w:jc w:val="both"/>
        <w:rPr>
          <w:sz w:val="20"/>
          <w:szCs w:val="20"/>
        </w:rPr>
      </w:pPr>
    </w:p>
    <w:p w14:paraId="7732F6FC" w14:textId="53B94360" w:rsidR="002F733C" w:rsidRDefault="002F733C" w:rsidP="009B4F7D">
      <w:pPr>
        <w:spacing w:after="0" w:line="240" w:lineRule="auto"/>
        <w:jc w:val="both"/>
        <w:rPr>
          <w:sz w:val="20"/>
          <w:szCs w:val="20"/>
        </w:rPr>
      </w:pPr>
    </w:p>
    <w:p w14:paraId="055A8F5F" w14:textId="77777777" w:rsidR="0035505E" w:rsidRDefault="0035505E" w:rsidP="009B4F7D">
      <w:pPr>
        <w:spacing w:after="0" w:line="240" w:lineRule="auto"/>
        <w:jc w:val="both"/>
        <w:rPr>
          <w:sz w:val="20"/>
          <w:szCs w:val="20"/>
        </w:rPr>
      </w:pPr>
    </w:p>
    <w:tbl>
      <w:tblPr>
        <w:tblStyle w:val="TableGrid"/>
        <w:tblW w:w="9924" w:type="dxa"/>
        <w:tblInd w:w="-431" w:type="dxa"/>
        <w:tblLook w:val="04A0" w:firstRow="1" w:lastRow="0" w:firstColumn="1" w:lastColumn="0" w:noHBand="0" w:noVBand="1"/>
      </w:tblPr>
      <w:tblGrid>
        <w:gridCol w:w="9924"/>
      </w:tblGrid>
      <w:tr w:rsidR="0035505E" w:rsidRPr="00623A55" w14:paraId="6D796AEC" w14:textId="77777777" w:rsidTr="00B11953">
        <w:tc>
          <w:tcPr>
            <w:tcW w:w="9924" w:type="dxa"/>
            <w:shd w:val="clear" w:color="auto" w:fill="662260"/>
          </w:tcPr>
          <w:p w14:paraId="60C48043" w14:textId="77777777" w:rsidR="0035505E" w:rsidRPr="005F3AC0" w:rsidRDefault="0035505E" w:rsidP="00B11953">
            <w:pPr>
              <w:rPr>
                <w:b/>
                <w:sz w:val="20"/>
                <w:szCs w:val="20"/>
              </w:rPr>
            </w:pPr>
            <w:r w:rsidRPr="005F3AC0">
              <w:rPr>
                <w:b/>
                <w:color w:val="FFFFFF" w:themeColor="background1"/>
                <w:sz w:val="20"/>
                <w:szCs w:val="20"/>
              </w:rPr>
              <w:t xml:space="preserve">Challenge </w:t>
            </w:r>
            <w:r>
              <w:rPr>
                <w:b/>
                <w:color w:val="FFFFFF" w:themeColor="background1"/>
                <w:sz w:val="20"/>
                <w:szCs w:val="20"/>
              </w:rPr>
              <w:t>(max 250 words)</w:t>
            </w:r>
          </w:p>
        </w:tc>
      </w:tr>
      <w:tr w:rsidR="0035505E" w:rsidRPr="00623A55" w14:paraId="19095177" w14:textId="77777777" w:rsidTr="00B11953">
        <w:tc>
          <w:tcPr>
            <w:tcW w:w="9924" w:type="dxa"/>
          </w:tcPr>
          <w:p w14:paraId="6607BEBE" w14:textId="77777777" w:rsidR="0035505E" w:rsidRPr="005F3AC0" w:rsidRDefault="0035505E" w:rsidP="00B11953">
            <w:pPr>
              <w:rPr>
                <w:sz w:val="20"/>
                <w:szCs w:val="20"/>
              </w:rPr>
            </w:pPr>
          </w:p>
          <w:p w14:paraId="59437B3D" w14:textId="77777777" w:rsidR="0035505E" w:rsidRDefault="0035505E" w:rsidP="0035505E">
            <w:pPr>
              <w:rPr>
                <w:sz w:val="20"/>
                <w:szCs w:val="20"/>
              </w:rPr>
            </w:pPr>
          </w:p>
          <w:p w14:paraId="1C7CA352" w14:textId="77777777" w:rsidR="004E3D1F" w:rsidRDefault="004E3D1F" w:rsidP="0035505E">
            <w:r>
              <w:t xml:space="preserve">JFO scope of service included: </w:t>
            </w:r>
          </w:p>
          <w:p w14:paraId="2B4D1F73" w14:textId="77777777" w:rsidR="004E3D1F" w:rsidRDefault="004E3D1F" w:rsidP="0035505E">
            <w:r>
              <w:t xml:space="preserve">• Cut and removal of risers and subsea spools </w:t>
            </w:r>
          </w:p>
          <w:p w14:paraId="7AA68DD4" w14:textId="77777777" w:rsidR="004E3D1F" w:rsidRDefault="004E3D1F" w:rsidP="0035505E">
            <w:r>
              <w:t xml:space="preserve">• Soil plug removal </w:t>
            </w:r>
          </w:p>
          <w:p w14:paraId="14D94314" w14:textId="77777777" w:rsidR="004E3D1F" w:rsidRDefault="004E3D1F" w:rsidP="0035505E">
            <w:r>
              <w:t xml:space="preserve">• Cut and removal of subsea jackets </w:t>
            </w:r>
          </w:p>
          <w:p w14:paraId="63D61BAB" w14:textId="629BFA2C" w:rsidR="0035505E" w:rsidRDefault="004E3D1F" w:rsidP="0035505E">
            <w:pPr>
              <w:rPr>
                <w:sz w:val="20"/>
                <w:szCs w:val="20"/>
              </w:rPr>
            </w:pPr>
            <w:r>
              <w:t>• Cut and recovery of associated pipelines</w:t>
            </w:r>
          </w:p>
          <w:p w14:paraId="4B33F41F" w14:textId="7E3AECA6" w:rsidR="0035505E" w:rsidRDefault="0035505E" w:rsidP="0035505E">
            <w:pPr>
              <w:rPr>
                <w:sz w:val="20"/>
                <w:szCs w:val="20"/>
              </w:rPr>
            </w:pPr>
          </w:p>
          <w:p w14:paraId="3595A4E6" w14:textId="6837D0CC" w:rsidR="0035505E" w:rsidRDefault="004E3D1F" w:rsidP="0035505E">
            <w:pPr>
              <w:rPr>
                <w:sz w:val="20"/>
                <w:szCs w:val="20"/>
              </w:rPr>
            </w:pPr>
            <w:r>
              <w:lastRenderedPageBreak/>
              <w:t xml:space="preserve">Project scope specified use of an internal cutting system with capability to cut the piles to a minimum of 5mtr below seabed level. The piles were known to contain heavy </w:t>
            </w:r>
            <w:proofErr w:type="gramStart"/>
            <w:r>
              <w:t>soils</w:t>
            </w:r>
            <w:proofErr w:type="gramEnd"/>
            <w:r>
              <w:t xml:space="preserve"> and these needed dredged prior to commencing cutting. Furthermore, the risers and cross member braces required to be cut externally at very specific locations, with challenging access, for optimal recovery and reef placement.</w:t>
            </w:r>
          </w:p>
          <w:p w14:paraId="328E52C0" w14:textId="08C09DAC" w:rsidR="0035505E" w:rsidRPr="005F3AC0" w:rsidRDefault="0035505E" w:rsidP="0035505E">
            <w:pPr>
              <w:rPr>
                <w:sz w:val="20"/>
                <w:szCs w:val="20"/>
              </w:rPr>
            </w:pPr>
          </w:p>
        </w:tc>
      </w:tr>
    </w:tbl>
    <w:p w14:paraId="61F3CB20" w14:textId="37CA4F3C" w:rsidR="0035505E" w:rsidRDefault="0035505E" w:rsidP="009B4F7D">
      <w:pPr>
        <w:spacing w:after="0" w:line="240" w:lineRule="auto"/>
        <w:jc w:val="both"/>
        <w:rPr>
          <w:sz w:val="20"/>
          <w:szCs w:val="20"/>
        </w:rPr>
      </w:pPr>
    </w:p>
    <w:p w14:paraId="674E7DE5" w14:textId="4940B6DF" w:rsidR="0035505E" w:rsidRDefault="0035505E" w:rsidP="009B4F7D">
      <w:pPr>
        <w:spacing w:after="0" w:line="240" w:lineRule="auto"/>
        <w:jc w:val="both"/>
        <w:rPr>
          <w:sz w:val="20"/>
          <w:szCs w:val="20"/>
        </w:rPr>
      </w:pPr>
    </w:p>
    <w:p w14:paraId="52B46C71" w14:textId="6EB10650" w:rsidR="0035505E" w:rsidRDefault="0035505E" w:rsidP="009B4F7D">
      <w:pPr>
        <w:spacing w:after="0" w:line="240" w:lineRule="auto"/>
        <w:jc w:val="both"/>
        <w:rPr>
          <w:sz w:val="20"/>
          <w:szCs w:val="20"/>
        </w:rPr>
      </w:pPr>
    </w:p>
    <w:p w14:paraId="184C0E0C" w14:textId="38C393E3" w:rsidR="0035505E" w:rsidRDefault="0035505E" w:rsidP="009B4F7D">
      <w:pPr>
        <w:spacing w:after="0" w:line="240" w:lineRule="auto"/>
        <w:jc w:val="both"/>
        <w:rPr>
          <w:sz w:val="20"/>
          <w:szCs w:val="20"/>
        </w:rPr>
      </w:pPr>
    </w:p>
    <w:p w14:paraId="420D47C7" w14:textId="77777777" w:rsidR="0035505E" w:rsidRDefault="0035505E" w:rsidP="009B4F7D">
      <w:pPr>
        <w:spacing w:after="0" w:line="240" w:lineRule="auto"/>
        <w:jc w:val="both"/>
        <w:rPr>
          <w:sz w:val="20"/>
          <w:szCs w:val="20"/>
        </w:rPr>
      </w:pPr>
    </w:p>
    <w:tbl>
      <w:tblPr>
        <w:tblStyle w:val="TableGrid"/>
        <w:tblW w:w="9924" w:type="dxa"/>
        <w:tblInd w:w="-431" w:type="dxa"/>
        <w:tblLook w:val="04A0" w:firstRow="1" w:lastRow="0" w:firstColumn="1" w:lastColumn="0" w:noHBand="0" w:noVBand="1"/>
      </w:tblPr>
      <w:tblGrid>
        <w:gridCol w:w="9924"/>
      </w:tblGrid>
      <w:tr w:rsidR="0035505E" w:rsidRPr="00623A55" w14:paraId="4C883532" w14:textId="77777777" w:rsidTr="00B11953">
        <w:tc>
          <w:tcPr>
            <w:tcW w:w="9924" w:type="dxa"/>
            <w:shd w:val="clear" w:color="auto" w:fill="662260"/>
          </w:tcPr>
          <w:p w14:paraId="3CC429E6" w14:textId="77777777" w:rsidR="0035505E" w:rsidRPr="005F3AC0" w:rsidRDefault="0035505E" w:rsidP="00B11953">
            <w:pPr>
              <w:rPr>
                <w:b/>
                <w:sz w:val="20"/>
                <w:szCs w:val="20"/>
              </w:rPr>
            </w:pPr>
            <w:r w:rsidRPr="005F3AC0">
              <w:rPr>
                <w:b/>
                <w:color w:val="FFFFFF" w:themeColor="background1"/>
                <w:sz w:val="20"/>
                <w:szCs w:val="20"/>
              </w:rPr>
              <w:t xml:space="preserve">Solution </w:t>
            </w:r>
            <w:r>
              <w:rPr>
                <w:b/>
                <w:color w:val="FFFFFF" w:themeColor="background1"/>
                <w:sz w:val="20"/>
                <w:szCs w:val="20"/>
              </w:rPr>
              <w:t>(max 250 words)</w:t>
            </w:r>
          </w:p>
        </w:tc>
      </w:tr>
      <w:tr w:rsidR="0035505E" w:rsidRPr="00623A55" w14:paraId="767DE43F" w14:textId="77777777" w:rsidTr="00B11953">
        <w:tc>
          <w:tcPr>
            <w:tcW w:w="9924" w:type="dxa"/>
          </w:tcPr>
          <w:p w14:paraId="252797E7" w14:textId="77777777" w:rsidR="0035505E" w:rsidRDefault="0035505E" w:rsidP="0035505E">
            <w:pPr>
              <w:rPr>
                <w:sz w:val="20"/>
                <w:szCs w:val="20"/>
              </w:rPr>
            </w:pPr>
          </w:p>
          <w:p w14:paraId="162CD374" w14:textId="5089E95F" w:rsidR="0035505E" w:rsidRDefault="004E3D1F" w:rsidP="0035505E">
            <w:pPr>
              <w:rPr>
                <w:sz w:val="20"/>
                <w:szCs w:val="20"/>
              </w:rPr>
            </w:pPr>
            <w:r>
              <w:t>JFO created immediate cost and time savings for the client by mobilising from its base in Malaysia. To further enhance project expediency JFO utilised a deployment frame to deploy the cutting head, thus freeing up the vessel crane to simultaneously carry out the pile dredging. Excavation was launched on the soil plug inside the pile utilising JFO’s bespoke soil plug removal tool to provide clearance for the AWJC to perform the clients required severance. For the external cuts some of the access points were more challenging than anticipated and a combination of tools were required, including a chop saw and diamond wire. This reactive adaptability proved critical in being able to overcome the project obstacles.</w:t>
            </w:r>
          </w:p>
          <w:p w14:paraId="7C5BEC5C" w14:textId="6D876E3E" w:rsidR="0035505E" w:rsidRDefault="0035505E" w:rsidP="0035505E">
            <w:pPr>
              <w:rPr>
                <w:sz w:val="20"/>
                <w:szCs w:val="20"/>
              </w:rPr>
            </w:pPr>
          </w:p>
          <w:p w14:paraId="3501261F" w14:textId="2E1A9CEE" w:rsidR="0035505E" w:rsidRDefault="0035505E" w:rsidP="0035505E">
            <w:pPr>
              <w:rPr>
                <w:sz w:val="20"/>
                <w:szCs w:val="20"/>
              </w:rPr>
            </w:pPr>
          </w:p>
          <w:p w14:paraId="1BCF3055" w14:textId="48B3CE60" w:rsidR="0035505E" w:rsidRPr="005F3AC0" w:rsidRDefault="0035505E" w:rsidP="0035505E">
            <w:pPr>
              <w:rPr>
                <w:sz w:val="20"/>
                <w:szCs w:val="20"/>
              </w:rPr>
            </w:pPr>
          </w:p>
        </w:tc>
      </w:tr>
    </w:tbl>
    <w:p w14:paraId="04F8182D" w14:textId="77777777" w:rsidR="0035505E" w:rsidRDefault="0035505E" w:rsidP="009B4F7D">
      <w:pPr>
        <w:spacing w:after="0" w:line="240" w:lineRule="auto"/>
        <w:jc w:val="both"/>
        <w:rPr>
          <w:sz w:val="20"/>
          <w:szCs w:val="20"/>
        </w:rPr>
      </w:pPr>
    </w:p>
    <w:p w14:paraId="7D8E7D4B" w14:textId="32B4DCD1" w:rsidR="00E26DD7" w:rsidRDefault="00E26DD7" w:rsidP="009B4F7D">
      <w:pPr>
        <w:spacing w:after="0" w:line="240" w:lineRule="auto"/>
        <w:jc w:val="both"/>
        <w:rPr>
          <w:sz w:val="20"/>
          <w:szCs w:val="20"/>
        </w:rPr>
      </w:pPr>
    </w:p>
    <w:p w14:paraId="5F8808A1" w14:textId="77777777" w:rsidR="0035505E" w:rsidRPr="005F3AC0" w:rsidRDefault="0035505E" w:rsidP="009B4F7D">
      <w:pPr>
        <w:spacing w:after="0" w:line="240" w:lineRule="auto"/>
        <w:jc w:val="both"/>
        <w:rPr>
          <w:sz w:val="20"/>
          <w:szCs w:val="20"/>
        </w:rPr>
      </w:pPr>
    </w:p>
    <w:tbl>
      <w:tblPr>
        <w:tblStyle w:val="TableGrid"/>
        <w:tblW w:w="9924" w:type="dxa"/>
        <w:tblInd w:w="-431" w:type="dxa"/>
        <w:tblLook w:val="04A0" w:firstRow="1" w:lastRow="0" w:firstColumn="1" w:lastColumn="0" w:noHBand="0" w:noVBand="1"/>
      </w:tblPr>
      <w:tblGrid>
        <w:gridCol w:w="9924"/>
      </w:tblGrid>
      <w:tr w:rsidR="0034463A" w:rsidRPr="00623A55" w14:paraId="452F89DC" w14:textId="77777777" w:rsidTr="00952FA7">
        <w:tc>
          <w:tcPr>
            <w:tcW w:w="9924" w:type="dxa"/>
            <w:shd w:val="clear" w:color="auto" w:fill="662260"/>
          </w:tcPr>
          <w:p w14:paraId="7817D411" w14:textId="102098A9" w:rsidR="0034463A" w:rsidRPr="005F3AC0" w:rsidRDefault="0034463A">
            <w:pPr>
              <w:rPr>
                <w:b/>
                <w:sz w:val="20"/>
                <w:szCs w:val="20"/>
              </w:rPr>
            </w:pPr>
            <w:r w:rsidRPr="005F3AC0">
              <w:rPr>
                <w:b/>
                <w:color w:val="FFFFFF" w:themeColor="background1"/>
                <w:sz w:val="20"/>
                <w:szCs w:val="20"/>
              </w:rPr>
              <w:t xml:space="preserve">Results </w:t>
            </w:r>
            <w:r w:rsidR="005F3AC0" w:rsidRPr="005F3AC0">
              <w:rPr>
                <w:b/>
                <w:color w:val="FFFFFF" w:themeColor="background1"/>
                <w:sz w:val="20"/>
                <w:szCs w:val="20"/>
              </w:rPr>
              <w:t>(max 250 words)</w:t>
            </w:r>
          </w:p>
        </w:tc>
      </w:tr>
      <w:tr w:rsidR="0034463A" w:rsidRPr="00623A55" w14:paraId="26FDA73D" w14:textId="77777777" w:rsidTr="00952FA7">
        <w:tc>
          <w:tcPr>
            <w:tcW w:w="9924" w:type="dxa"/>
          </w:tcPr>
          <w:p w14:paraId="4BC89629" w14:textId="77777777" w:rsidR="0034463A" w:rsidRPr="00E26DD7" w:rsidRDefault="0034463A" w:rsidP="00E26DD7">
            <w:pPr>
              <w:rPr>
                <w:sz w:val="20"/>
              </w:rPr>
            </w:pPr>
          </w:p>
          <w:p w14:paraId="55480C85" w14:textId="4E3F54C4" w:rsidR="0034463A" w:rsidRDefault="004E3D1F" w:rsidP="0035505E">
            <w:pPr>
              <w:rPr>
                <w:sz w:val="20"/>
                <w:szCs w:val="20"/>
              </w:rPr>
            </w:pPr>
            <w:r>
              <w:t>The project was delivered without incident and ahead of schedule. The utilisation of simultaneous operations with the dredging and internal cutting spread greatly aided in this outcome, whilst JFO’s ability to deploy multiple external cutting tools concurrently generated significant efficiencies.</w:t>
            </w:r>
          </w:p>
          <w:p w14:paraId="6D60EC7A" w14:textId="4E031806" w:rsidR="0035505E" w:rsidRDefault="0035505E" w:rsidP="0035505E">
            <w:pPr>
              <w:rPr>
                <w:sz w:val="20"/>
                <w:szCs w:val="20"/>
              </w:rPr>
            </w:pPr>
          </w:p>
          <w:p w14:paraId="67BD810C" w14:textId="01FBED59" w:rsidR="004E3D1F" w:rsidRDefault="004E3D1F" w:rsidP="0035505E">
            <w:pPr>
              <w:rPr>
                <w:sz w:val="20"/>
                <w:szCs w:val="20"/>
              </w:rPr>
            </w:pPr>
            <w:r>
              <w:t>JFO’s highly experienced project and engineering teams delivered the full JFO scope of service, supported by a specialised core team of offshore personnel. With extensive experience on similar scopes of work, our team work to the highest standards of quality and safety and communicate fully with vessel crew from riggers to client representatives. Our offshore technician David Allan was acknowledged on the project for his work ethic and received a stand up for safety award, presented to him by the Chevron HES superintendent of Chevron Thailand.</w:t>
            </w:r>
          </w:p>
          <w:p w14:paraId="1CBA237B" w14:textId="77777777" w:rsidR="0035505E" w:rsidRDefault="0035505E" w:rsidP="0035505E">
            <w:pPr>
              <w:rPr>
                <w:sz w:val="20"/>
                <w:szCs w:val="20"/>
              </w:rPr>
            </w:pPr>
          </w:p>
          <w:p w14:paraId="2F617DEA" w14:textId="77777777" w:rsidR="0035505E" w:rsidRDefault="0035505E" w:rsidP="0035505E">
            <w:pPr>
              <w:rPr>
                <w:sz w:val="20"/>
                <w:szCs w:val="20"/>
              </w:rPr>
            </w:pPr>
          </w:p>
          <w:p w14:paraId="7996BDD6" w14:textId="799DB0DD" w:rsidR="0035505E" w:rsidRPr="005F3AC0" w:rsidRDefault="0035505E" w:rsidP="0035505E">
            <w:pPr>
              <w:rPr>
                <w:sz w:val="20"/>
                <w:szCs w:val="20"/>
              </w:rPr>
            </w:pPr>
          </w:p>
        </w:tc>
      </w:tr>
    </w:tbl>
    <w:p w14:paraId="7E119863" w14:textId="77777777" w:rsidR="002F733C" w:rsidRPr="005F3AC0" w:rsidRDefault="002F733C" w:rsidP="009B4F7D">
      <w:pPr>
        <w:spacing w:after="0" w:line="240" w:lineRule="auto"/>
        <w:jc w:val="both"/>
        <w:rPr>
          <w:sz w:val="20"/>
          <w:szCs w:val="20"/>
        </w:rPr>
      </w:pPr>
    </w:p>
    <w:p w14:paraId="6E838B99" w14:textId="0F2A1646" w:rsidR="00E26DD7" w:rsidRDefault="00E26DD7" w:rsidP="00E26DD7">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E26DD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bl>
      <w:tblPr>
        <w:tblStyle w:val="TableGrid"/>
        <w:tblW w:w="9924" w:type="dxa"/>
        <w:tblInd w:w="-431" w:type="dxa"/>
        <w:tblLook w:val="04A0" w:firstRow="1" w:lastRow="0" w:firstColumn="1" w:lastColumn="0" w:noHBand="0" w:noVBand="1"/>
      </w:tblPr>
      <w:tblGrid>
        <w:gridCol w:w="9924"/>
      </w:tblGrid>
      <w:tr w:rsidR="007B7A59" w14:paraId="62CC5581" w14:textId="77777777" w:rsidTr="007B7A59">
        <w:tc>
          <w:tcPr>
            <w:tcW w:w="9924" w:type="dxa"/>
            <w:tcBorders>
              <w:top w:val="single" w:sz="4" w:space="0" w:color="auto"/>
              <w:left w:val="single" w:sz="4" w:space="0" w:color="auto"/>
              <w:bottom w:val="single" w:sz="4" w:space="0" w:color="auto"/>
              <w:right w:val="single" w:sz="4" w:space="0" w:color="auto"/>
            </w:tcBorders>
            <w:shd w:val="clear" w:color="auto" w:fill="662260"/>
            <w:hideMark/>
          </w:tcPr>
          <w:p w14:paraId="2E3282B0" w14:textId="77777777" w:rsidR="007B7A59" w:rsidRDefault="007B7A59">
            <w:pPr>
              <w:rPr>
                <w:b/>
                <w:color w:val="FFFFFF" w:themeColor="background1"/>
              </w:rPr>
            </w:pPr>
            <w:r>
              <w:rPr>
                <w:b/>
                <w:color w:val="FFFFFF" w:themeColor="background1"/>
              </w:rPr>
              <w:t xml:space="preserve">Additional Requirements: Please provide the following items (where applicable) to accompany your case study submission </w:t>
            </w:r>
          </w:p>
        </w:tc>
      </w:tr>
      <w:tr w:rsidR="007B7A59" w14:paraId="31194B0D" w14:textId="77777777" w:rsidTr="007B7A59">
        <w:trPr>
          <w:trHeight w:val="3723"/>
        </w:trPr>
        <w:tc>
          <w:tcPr>
            <w:tcW w:w="9924" w:type="dxa"/>
            <w:tcBorders>
              <w:top w:val="single" w:sz="4" w:space="0" w:color="auto"/>
              <w:left w:val="single" w:sz="4" w:space="0" w:color="auto"/>
              <w:bottom w:val="single" w:sz="4" w:space="0" w:color="auto"/>
              <w:right w:val="single" w:sz="4" w:space="0" w:color="auto"/>
            </w:tcBorders>
          </w:tcPr>
          <w:p w14:paraId="53F91F36" w14:textId="77777777" w:rsidR="007B7A59" w:rsidRDefault="007B7A59">
            <w:pPr>
              <w:rPr>
                <w:sz w:val="20"/>
                <w:szCs w:val="20"/>
              </w:rPr>
            </w:pPr>
          </w:p>
          <w:p w14:paraId="172F434B" w14:textId="77777777" w:rsidR="007B7A59" w:rsidRDefault="007B7A59" w:rsidP="007B7A59">
            <w:pPr>
              <w:pStyle w:val="ListParagraph"/>
              <w:numPr>
                <w:ilvl w:val="0"/>
                <w:numId w:val="2"/>
              </w:numPr>
              <w:rPr>
                <w:sz w:val="20"/>
                <w:szCs w:val="20"/>
              </w:rPr>
            </w:pPr>
            <w:r>
              <w:rPr>
                <w:sz w:val="20"/>
                <w:szCs w:val="20"/>
              </w:rPr>
              <w:t xml:space="preserve">Company Logo </w:t>
            </w:r>
          </w:p>
          <w:p w14:paraId="0B356493" w14:textId="77777777" w:rsidR="007B7A59" w:rsidRDefault="007B7A59" w:rsidP="007B7A59">
            <w:pPr>
              <w:pStyle w:val="ListParagraph"/>
              <w:numPr>
                <w:ilvl w:val="0"/>
                <w:numId w:val="2"/>
              </w:numPr>
              <w:rPr>
                <w:sz w:val="20"/>
                <w:szCs w:val="20"/>
              </w:rPr>
            </w:pPr>
            <w:r>
              <w:rPr>
                <w:sz w:val="20"/>
                <w:szCs w:val="20"/>
              </w:rPr>
              <w:t>Project Images – 2x high quality jpeg (minimum file size 500kb each)</w:t>
            </w:r>
          </w:p>
          <w:p w14:paraId="1A600417" w14:textId="77777777" w:rsidR="007B7A59" w:rsidRDefault="007B7A59" w:rsidP="007B7A59">
            <w:pPr>
              <w:pStyle w:val="ListParagraph"/>
              <w:numPr>
                <w:ilvl w:val="0"/>
                <w:numId w:val="2"/>
              </w:numPr>
              <w:rPr>
                <w:sz w:val="20"/>
                <w:szCs w:val="20"/>
              </w:rPr>
            </w:pPr>
            <w:r>
              <w:rPr>
                <w:sz w:val="20"/>
                <w:szCs w:val="20"/>
              </w:rPr>
              <w:t xml:space="preserve">Project video – Please upload to video sharing service Vimeo and insert the embed code below </w:t>
            </w:r>
          </w:p>
          <w:p w14:paraId="7089B208" w14:textId="77777777" w:rsidR="007B7A59" w:rsidRDefault="007B7A59">
            <w:pPr>
              <w:pStyle w:val="ListParagraph"/>
              <w:rPr>
                <w:sz w:val="20"/>
                <w:szCs w:val="20"/>
              </w:rPr>
            </w:pPr>
          </w:p>
          <w:tbl>
            <w:tblPr>
              <w:tblStyle w:val="TableGrid"/>
              <w:tblW w:w="0" w:type="auto"/>
              <w:tblInd w:w="720" w:type="dxa"/>
              <w:tblLook w:val="04A0" w:firstRow="1" w:lastRow="0" w:firstColumn="1" w:lastColumn="0" w:noHBand="0" w:noVBand="1"/>
            </w:tblPr>
            <w:tblGrid>
              <w:gridCol w:w="7951"/>
            </w:tblGrid>
            <w:tr w:rsidR="007B7A59" w14:paraId="78E6B632" w14:textId="77777777">
              <w:tc>
                <w:tcPr>
                  <w:tcW w:w="7951" w:type="dxa"/>
                  <w:tcBorders>
                    <w:top w:val="single" w:sz="4" w:space="0" w:color="auto"/>
                    <w:left w:val="single" w:sz="4" w:space="0" w:color="auto"/>
                    <w:bottom w:val="single" w:sz="4" w:space="0" w:color="auto"/>
                    <w:right w:val="single" w:sz="4" w:space="0" w:color="auto"/>
                  </w:tcBorders>
                </w:tcPr>
                <w:p w14:paraId="6D7FC847" w14:textId="77777777" w:rsidR="007B7A59" w:rsidRDefault="007B7A59">
                  <w:pPr>
                    <w:pStyle w:val="ListParagraph"/>
                    <w:ind w:left="0"/>
                    <w:rPr>
                      <w:sz w:val="20"/>
                      <w:szCs w:val="20"/>
                    </w:rPr>
                  </w:pPr>
                </w:p>
                <w:p w14:paraId="5A3330DF" w14:textId="77777777" w:rsidR="007B7A59" w:rsidRDefault="007B7A59">
                  <w:pPr>
                    <w:pStyle w:val="ListParagraph"/>
                    <w:ind w:left="0"/>
                    <w:rPr>
                      <w:sz w:val="20"/>
                      <w:szCs w:val="20"/>
                    </w:rPr>
                  </w:pPr>
                </w:p>
              </w:tc>
            </w:tr>
          </w:tbl>
          <w:p w14:paraId="45E89E8A" w14:textId="77777777" w:rsidR="007B7A59" w:rsidRDefault="007B7A59">
            <w:pPr>
              <w:pStyle w:val="ListParagraph"/>
              <w:rPr>
                <w:sz w:val="20"/>
                <w:szCs w:val="20"/>
              </w:rPr>
            </w:pPr>
          </w:p>
          <w:p w14:paraId="0816F013" w14:textId="77777777" w:rsidR="007B7A59" w:rsidRDefault="007B7A59" w:rsidP="007B7A59">
            <w:pPr>
              <w:pStyle w:val="ListParagraph"/>
              <w:numPr>
                <w:ilvl w:val="0"/>
                <w:numId w:val="2"/>
              </w:numPr>
              <w:rPr>
                <w:sz w:val="20"/>
                <w:szCs w:val="20"/>
              </w:rPr>
            </w:pPr>
            <w:r>
              <w:rPr>
                <w:sz w:val="20"/>
                <w:szCs w:val="20"/>
              </w:rPr>
              <w:t xml:space="preserve">Further information – please attach any further Project PDF’s that provide additional information about the project </w:t>
            </w:r>
          </w:p>
          <w:p w14:paraId="7304B781" w14:textId="77777777" w:rsidR="007B7A59" w:rsidRDefault="007B7A59" w:rsidP="007B7A59">
            <w:pPr>
              <w:pStyle w:val="ListParagraph"/>
              <w:numPr>
                <w:ilvl w:val="0"/>
                <w:numId w:val="2"/>
              </w:numPr>
              <w:rPr>
                <w:sz w:val="20"/>
                <w:szCs w:val="20"/>
              </w:rPr>
            </w:pPr>
            <w:r>
              <w:rPr>
                <w:sz w:val="20"/>
                <w:szCs w:val="20"/>
              </w:rPr>
              <w:t xml:space="preserve">Additional web links – Please include any website links to additional about the project </w:t>
            </w:r>
          </w:p>
          <w:p w14:paraId="1700CF52" w14:textId="77777777" w:rsidR="007B7A59" w:rsidRDefault="007B7A59">
            <w:pPr>
              <w:ind w:left="360"/>
              <w:rPr>
                <w:sz w:val="20"/>
                <w:szCs w:val="20"/>
              </w:rPr>
            </w:pPr>
          </w:p>
          <w:tbl>
            <w:tblPr>
              <w:tblStyle w:val="TableGrid"/>
              <w:tblW w:w="0" w:type="auto"/>
              <w:tblInd w:w="720" w:type="dxa"/>
              <w:tblLook w:val="04A0" w:firstRow="1" w:lastRow="0" w:firstColumn="1" w:lastColumn="0" w:noHBand="0" w:noVBand="1"/>
            </w:tblPr>
            <w:tblGrid>
              <w:gridCol w:w="7951"/>
            </w:tblGrid>
            <w:tr w:rsidR="007B7A59" w14:paraId="030CDBCD" w14:textId="77777777">
              <w:tc>
                <w:tcPr>
                  <w:tcW w:w="7951" w:type="dxa"/>
                  <w:tcBorders>
                    <w:top w:val="single" w:sz="4" w:space="0" w:color="auto"/>
                    <w:left w:val="single" w:sz="4" w:space="0" w:color="auto"/>
                    <w:bottom w:val="single" w:sz="4" w:space="0" w:color="auto"/>
                    <w:right w:val="single" w:sz="4" w:space="0" w:color="auto"/>
                  </w:tcBorders>
                </w:tcPr>
                <w:p w14:paraId="151E2F38" w14:textId="77777777" w:rsidR="007B7A59" w:rsidRDefault="007B7A59">
                  <w:pPr>
                    <w:pStyle w:val="ListParagraph"/>
                    <w:ind w:left="0"/>
                    <w:rPr>
                      <w:sz w:val="20"/>
                      <w:szCs w:val="20"/>
                    </w:rPr>
                  </w:pPr>
                </w:p>
                <w:p w14:paraId="42063430" w14:textId="77777777" w:rsidR="007B7A59" w:rsidRDefault="007B7A59">
                  <w:pPr>
                    <w:pStyle w:val="ListParagraph"/>
                    <w:ind w:left="0"/>
                    <w:rPr>
                      <w:sz w:val="20"/>
                      <w:szCs w:val="20"/>
                    </w:rPr>
                  </w:pPr>
                </w:p>
              </w:tc>
            </w:tr>
          </w:tbl>
          <w:p w14:paraId="1F58EA18" w14:textId="77777777" w:rsidR="007B7A59" w:rsidRDefault="007B7A59">
            <w:pPr>
              <w:rPr>
                <w:sz w:val="20"/>
                <w:szCs w:val="20"/>
              </w:rPr>
            </w:pPr>
          </w:p>
        </w:tc>
      </w:tr>
    </w:tbl>
    <w:p w14:paraId="683DBE06" w14:textId="4F1FB9DC" w:rsidR="008D3659" w:rsidRPr="00846AA7" w:rsidRDefault="008D3659" w:rsidP="00E26DD7">
      <w:pPr>
        <w:jc w:val="center"/>
      </w:pPr>
    </w:p>
    <w:sectPr w:rsidR="008D3659" w:rsidRPr="00846AA7" w:rsidSect="009829A3">
      <w:headerReference w:type="default" r:id="rId8"/>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6E503" w14:textId="77777777" w:rsidR="00340AB5" w:rsidRDefault="00340AB5" w:rsidP="009829A3">
      <w:pPr>
        <w:spacing w:after="0" w:line="240" w:lineRule="auto"/>
      </w:pPr>
      <w:r>
        <w:separator/>
      </w:r>
    </w:p>
  </w:endnote>
  <w:endnote w:type="continuationSeparator" w:id="0">
    <w:p w14:paraId="5A43F5E0" w14:textId="77777777" w:rsidR="00340AB5" w:rsidRDefault="00340AB5" w:rsidP="00982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4A587" w14:textId="77777777" w:rsidR="00340AB5" w:rsidRDefault="00340AB5" w:rsidP="009829A3">
      <w:pPr>
        <w:spacing w:after="0" w:line="240" w:lineRule="auto"/>
      </w:pPr>
      <w:r>
        <w:separator/>
      </w:r>
    </w:p>
  </w:footnote>
  <w:footnote w:type="continuationSeparator" w:id="0">
    <w:p w14:paraId="163144B6" w14:textId="77777777" w:rsidR="00340AB5" w:rsidRDefault="00340AB5" w:rsidP="00982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8720D" w14:textId="386BCBB6" w:rsidR="009829A3" w:rsidRPr="009829A3" w:rsidRDefault="003D639C" w:rsidP="0088571C">
    <w:pPr>
      <w:pStyle w:val="Header"/>
    </w:pPr>
    <w:r>
      <w:rPr>
        <w:noProof/>
        <w:lang w:eastAsia="en-GB"/>
      </w:rPr>
      <w:drawing>
        <wp:anchor distT="0" distB="0" distL="114300" distR="114300" simplePos="0" relativeHeight="251658240" behindDoc="1" locked="0" layoutInCell="1" allowOverlap="1" wp14:anchorId="1A72CE79" wp14:editId="1630485B">
          <wp:simplePos x="0" y="0"/>
          <wp:positionH relativeFrom="page">
            <wp:align>left</wp:align>
          </wp:positionH>
          <wp:positionV relativeFrom="paragraph">
            <wp:posOffset>-179705</wp:posOffset>
          </wp:positionV>
          <wp:extent cx="7543800" cy="1800225"/>
          <wp:effectExtent l="0" t="0" r="0" b="9525"/>
          <wp:wrapTight wrapText="bothSides">
            <wp:wrapPolygon edited="0">
              <wp:start x="0" y="0"/>
              <wp:lineTo x="0" y="21486"/>
              <wp:lineTo x="21545" y="21486"/>
              <wp:lineTo x="215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se study bann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800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63551A"/>
    <w:multiLevelType w:val="hybridMultilevel"/>
    <w:tmpl w:val="10E20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AA7"/>
    <w:rsid w:val="000F4F8E"/>
    <w:rsid w:val="00161A34"/>
    <w:rsid w:val="001B5BE6"/>
    <w:rsid w:val="002049BA"/>
    <w:rsid w:val="002F733C"/>
    <w:rsid w:val="00340AB5"/>
    <w:rsid w:val="0034463A"/>
    <w:rsid w:val="0035505E"/>
    <w:rsid w:val="00393D99"/>
    <w:rsid w:val="003D639C"/>
    <w:rsid w:val="004D7982"/>
    <w:rsid w:val="004E3D1F"/>
    <w:rsid w:val="0059184A"/>
    <w:rsid w:val="005F3AC0"/>
    <w:rsid w:val="00623A55"/>
    <w:rsid w:val="006B2519"/>
    <w:rsid w:val="00755F09"/>
    <w:rsid w:val="007B7A59"/>
    <w:rsid w:val="008364E4"/>
    <w:rsid w:val="00846AA7"/>
    <w:rsid w:val="0088571C"/>
    <w:rsid w:val="008936FB"/>
    <w:rsid w:val="008C6084"/>
    <w:rsid w:val="008D3659"/>
    <w:rsid w:val="00952FA7"/>
    <w:rsid w:val="009829A3"/>
    <w:rsid w:val="009B4F7D"/>
    <w:rsid w:val="00AE5A8C"/>
    <w:rsid w:val="00B52689"/>
    <w:rsid w:val="00B83F05"/>
    <w:rsid w:val="00BE2F2C"/>
    <w:rsid w:val="00C64FA9"/>
    <w:rsid w:val="00C974AD"/>
    <w:rsid w:val="00D32C5F"/>
    <w:rsid w:val="00DB2572"/>
    <w:rsid w:val="00E26DD7"/>
    <w:rsid w:val="00E62C38"/>
    <w:rsid w:val="00E720AF"/>
    <w:rsid w:val="00EE0B2C"/>
    <w:rsid w:val="00FC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8E89E1"/>
  <w15:chartTrackingRefBased/>
  <w15:docId w15:val="{BC9261B8-FA0C-4709-97F5-26583946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6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AA7"/>
    <w:pPr>
      <w:ind w:left="720"/>
      <w:contextualSpacing/>
    </w:pPr>
  </w:style>
  <w:style w:type="paragraph" w:styleId="Header">
    <w:name w:val="header"/>
    <w:basedOn w:val="Normal"/>
    <w:link w:val="HeaderChar"/>
    <w:uiPriority w:val="99"/>
    <w:unhideWhenUsed/>
    <w:rsid w:val="00982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9A3"/>
  </w:style>
  <w:style w:type="paragraph" w:styleId="Footer">
    <w:name w:val="footer"/>
    <w:basedOn w:val="Normal"/>
    <w:link w:val="FooterChar"/>
    <w:uiPriority w:val="99"/>
    <w:unhideWhenUsed/>
    <w:rsid w:val="00982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9A3"/>
  </w:style>
  <w:style w:type="paragraph" w:styleId="NoSpacing">
    <w:name w:val="No Spacing"/>
    <w:uiPriority w:val="1"/>
    <w:qFormat/>
    <w:rsid w:val="002F733C"/>
    <w:pPr>
      <w:spacing w:after="0" w:line="240" w:lineRule="auto"/>
    </w:pPr>
  </w:style>
  <w:style w:type="paragraph" w:styleId="BalloonText">
    <w:name w:val="Balloon Text"/>
    <w:basedOn w:val="Normal"/>
    <w:link w:val="BalloonTextChar"/>
    <w:uiPriority w:val="99"/>
    <w:semiHidden/>
    <w:unhideWhenUsed/>
    <w:rsid w:val="003D6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39C"/>
    <w:rPr>
      <w:rFonts w:ascii="Segoe UI" w:hAnsi="Segoe UI" w:cs="Segoe UI"/>
      <w:sz w:val="18"/>
      <w:szCs w:val="18"/>
    </w:rPr>
  </w:style>
  <w:style w:type="character" w:styleId="CommentReference">
    <w:name w:val="annotation reference"/>
    <w:basedOn w:val="DefaultParagraphFont"/>
    <w:uiPriority w:val="99"/>
    <w:semiHidden/>
    <w:unhideWhenUsed/>
    <w:rsid w:val="00623A55"/>
    <w:rPr>
      <w:sz w:val="16"/>
      <w:szCs w:val="16"/>
    </w:rPr>
  </w:style>
  <w:style w:type="paragraph" w:styleId="CommentText">
    <w:name w:val="annotation text"/>
    <w:basedOn w:val="Normal"/>
    <w:link w:val="CommentTextChar"/>
    <w:uiPriority w:val="99"/>
    <w:semiHidden/>
    <w:unhideWhenUsed/>
    <w:rsid w:val="00623A55"/>
    <w:pPr>
      <w:spacing w:line="240" w:lineRule="auto"/>
    </w:pPr>
    <w:rPr>
      <w:sz w:val="20"/>
      <w:szCs w:val="20"/>
    </w:rPr>
  </w:style>
  <w:style w:type="character" w:customStyle="1" w:styleId="CommentTextChar">
    <w:name w:val="Comment Text Char"/>
    <w:basedOn w:val="DefaultParagraphFont"/>
    <w:link w:val="CommentText"/>
    <w:uiPriority w:val="99"/>
    <w:semiHidden/>
    <w:rsid w:val="00623A55"/>
    <w:rPr>
      <w:sz w:val="20"/>
      <w:szCs w:val="20"/>
    </w:rPr>
  </w:style>
  <w:style w:type="paragraph" w:styleId="CommentSubject">
    <w:name w:val="annotation subject"/>
    <w:basedOn w:val="CommentText"/>
    <w:next w:val="CommentText"/>
    <w:link w:val="CommentSubjectChar"/>
    <w:uiPriority w:val="99"/>
    <w:semiHidden/>
    <w:unhideWhenUsed/>
    <w:rsid w:val="00623A55"/>
    <w:rPr>
      <w:b/>
      <w:bCs/>
    </w:rPr>
  </w:style>
  <w:style w:type="character" w:customStyle="1" w:styleId="CommentSubjectChar">
    <w:name w:val="Comment Subject Char"/>
    <w:basedOn w:val="CommentTextChar"/>
    <w:link w:val="CommentSubject"/>
    <w:uiPriority w:val="99"/>
    <w:semiHidden/>
    <w:rsid w:val="00623A55"/>
    <w:rPr>
      <w:b/>
      <w:bCs/>
      <w:sz w:val="20"/>
      <w:szCs w:val="20"/>
    </w:rPr>
  </w:style>
  <w:style w:type="character" w:styleId="Hyperlink">
    <w:name w:val="Hyperlink"/>
    <w:basedOn w:val="DefaultParagraphFont"/>
    <w:uiPriority w:val="99"/>
    <w:unhideWhenUsed/>
    <w:rsid w:val="004E3D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86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info@fisheroffshore.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35D52029FC1F40BBD27F0452CE488D" ma:contentTypeVersion="13" ma:contentTypeDescription="Create a new document." ma:contentTypeScope="" ma:versionID="b991b1ad442f322205688d74cf233836">
  <xsd:schema xmlns:xsd="http://www.w3.org/2001/XMLSchema" xmlns:xs="http://www.w3.org/2001/XMLSchema" xmlns:p="http://schemas.microsoft.com/office/2006/metadata/properties" xmlns:ns1="http://schemas.microsoft.com/sharepoint/v3" xmlns:ns2="823fad42-6604-41d0-b97c-707103a24789" xmlns:ns3="83739c1a-1327-42da-8355-1df32a12f74b" targetNamespace="http://schemas.microsoft.com/office/2006/metadata/properties" ma:root="true" ma:fieldsID="9e3fd601b2906d31e12f6abfd1a78edc" ns1:_="" ns2:_="" ns3:_="">
    <xsd:import namespace="http://schemas.microsoft.com/sharepoint/v3"/>
    <xsd:import namespace="823fad42-6604-41d0-b97c-707103a24789"/>
    <xsd:import namespace="83739c1a-1327-42da-8355-1df32a12f74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3fad42-6604-41d0-b97c-707103a247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39c1a-1327-42da-8355-1df32a12f74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2BA332-43E3-4B44-A3FF-879B409794BB}"/>
</file>

<file path=customXml/itemProps2.xml><?xml version="1.0" encoding="utf-8"?>
<ds:datastoreItem xmlns:ds="http://schemas.openxmlformats.org/officeDocument/2006/customXml" ds:itemID="{3B718A8A-803F-4E88-9184-01A88F8F1354}"/>
</file>

<file path=customXml/itemProps3.xml><?xml version="1.0" encoding="utf-8"?>
<ds:datastoreItem xmlns:ds="http://schemas.openxmlformats.org/officeDocument/2006/customXml" ds:itemID="{BE1ABD15-557F-4E1F-8ECB-E6E353722D72}"/>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Aitken</dc:creator>
  <cp:keywords/>
  <dc:description/>
  <cp:lastModifiedBy>Louise Brand</cp:lastModifiedBy>
  <cp:revision>2</cp:revision>
  <cp:lastPrinted>2018-04-17T12:50:00Z</cp:lastPrinted>
  <dcterms:created xsi:type="dcterms:W3CDTF">2021-03-23T10:51:00Z</dcterms:created>
  <dcterms:modified xsi:type="dcterms:W3CDTF">2021-03-23T10:51:00Z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0x0101005D35D52029FC1F40BBD27F0452CE488D</vt:lpwstr>
  </property>
</Properties>
</file>